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B5" w:rsidRDefault="005860B5" w:rsidP="00483426">
      <w:pPr>
        <w:pStyle w:val="Heading1"/>
        <w:spacing w:after="120"/>
      </w:pPr>
      <w:r>
        <w:t>návrh změny základního předpisu čns</w:t>
      </w:r>
    </w:p>
    <w:p w:rsidR="005860B5" w:rsidRDefault="005860B5" w:rsidP="00483426">
      <w:pPr>
        <w:spacing w:before="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89"/>
        <w:gridCol w:w="1124"/>
        <w:gridCol w:w="2279"/>
        <w:gridCol w:w="3720"/>
      </w:tblGrid>
      <w:tr w:rsidR="005860B5">
        <w:trPr>
          <w:cantSplit/>
          <w:jc w:val="center"/>
        </w:trPr>
        <w:tc>
          <w:tcPr>
            <w:tcW w:w="5000" w:type="pct"/>
            <w:gridSpan w:val="4"/>
            <w:shd w:val="pct20" w:color="auto" w:fill="auto"/>
          </w:tcPr>
          <w:p w:rsidR="005860B5" w:rsidRDefault="005860B5" w:rsidP="001F79FA">
            <w:pPr>
              <w:jc w:val="center"/>
              <w:rPr>
                <w:b/>
                <w:bCs/>
              </w:rPr>
            </w:pPr>
            <w:r>
              <w:rPr>
                <w:b/>
                <w:bCs/>
              </w:rPr>
              <w:t>PŘEDKLADATEL</w:t>
            </w:r>
          </w:p>
        </w:tc>
      </w:tr>
      <w:tr w:rsidR="005860B5">
        <w:trPr>
          <w:jc w:val="center"/>
        </w:trPr>
        <w:tc>
          <w:tcPr>
            <w:tcW w:w="1744" w:type="pct"/>
            <w:gridSpan w:val="2"/>
          </w:tcPr>
          <w:p w:rsidR="005860B5" w:rsidRDefault="005860B5" w:rsidP="001F79FA">
            <w:pPr>
              <w:jc w:val="left"/>
              <w:rPr>
                <w:b/>
                <w:bCs/>
                <w:caps/>
              </w:rPr>
            </w:pPr>
            <w:r>
              <w:rPr>
                <w:b/>
                <w:bCs/>
              </w:rPr>
              <w:t>Název oddílu/KNS/orgánu ČNS</w:t>
            </w:r>
          </w:p>
        </w:tc>
        <w:tc>
          <w:tcPr>
            <w:tcW w:w="3256" w:type="pct"/>
            <w:gridSpan w:val="2"/>
          </w:tcPr>
          <w:p w:rsidR="005860B5" w:rsidRDefault="005860B5" w:rsidP="001F79FA">
            <w:r>
              <w:t>Komise rozhodčích</w:t>
            </w:r>
          </w:p>
        </w:tc>
      </w:tr>
      <w:tr w:rsidR="005860B5">
        <w:trPr>
          <w:jc w:val="center"/>
        </w:trPr>
        <w:tc>
          <w:tcPr>
            <w:tcW w:w="1744" w:type="pct"/>
            <w:gridSpan w:val="2"/>
          </w:tcPr>
          <w:p w:rsidR="005860B5" w:rsidRDefault="005860B5" w:rsidP="001F79FA">
            <w:pPr>
              <w:jc w:val="left"/>
              <w:rPr>
                <w:b/>
                <w:bCs/>
                <w:caps/>
              </w:rPr>
            </w:pPr>
            <w:r>
              <w:rPr>
                <w:b/>
                <w:bCs/>
              </w:rPr>
              <w:t>Adresa</w:t>
            </w:r>
          </w:p>
        </w:tc>
        <w:tc>
          <w:tcPr>
            <w:tcW w:w="3256" w:type="pct"/>
            <w:gridSpan w:val="2"/>
          </w:tcPr>
          <w:p w:rsidR="005860B5" w:rsidRDefault="005860B5" w:rsidP="001F79FA">
            <w:r>
              <w:t>-</w:t>
            </w:r>
          </w:p>
        </w:tc>
      </w:tr>
      <w:tr w:rsidR="005860B5">
        <w:trPr>
          <w:jc w:val="center"/>
        </w:trPr>
        <w:tc>
          <w:tcPr>
            <w:tcW w:w="1744" w:type="pct"/>
            <w:gridSpan w:val="2"/>
          </w:tcPr>
          <w:p w:rsidR="005860B5" w:rsidRDefault="005860B5" w:rsidP="001F79FA">
            <w:pPr>
              <w:jc w:val="left"/>
              <w:rPr>
                <w:b/>
                <w:bCs/>
                <w:caps/>
              </w:rPr>
            </w:pPr>
            <w:r>
              <w:rPr>
                <w:b/>
                <w:bCs/>
              </w:rPr>
              <w:t>Okres, kraj</w:t>
            </w:r>
          </w:p>
        </w:tc>
        <w:tc>
          <w:tcPr>
            <w:tcW w:w="3256" w:type="pct"/>
            <w:gridSpan w:val="2"/>
          </w:tcPr>
          <w:p w:rsidR="005860B5" w:rsidRDefault="005860B5" w:rsidP="001F79FA">
            <w:r>
              <w:t>-</w:t>
            </w:r>
          </w:p>
        </w:tc>
      </w:tr>
      <w:tr w:rsidR="005860B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000" w:type="pct"/>
            <w:gridSpan w:val="4"/>
          </w:tcPr>
          <w:p w:rsidR="005860B5" w:rsidRDefault="005860B5" w:rsidP="001F79FA">
            <w:pPr>
              <w:rPr>
                <w:b/>
                <w:bCs/>
              </w:rPr>
            </w:pPr>
            <w:r>
              <w:rPr>
                <w:b/>
                <w:bCs/>
              </w:rPr>
              <w:t>Za předkladatele</w:t>
            </w:r>
          </w:p>
        </w:tc>
      </w:tr>
      <w:tr w:rsidR="005860B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pct"/>
          </w:tcPr>
          <w:p w:rsidR="005860B5" w:rsidRDefault="005860B5" w:rsidP="001F79FA">
            <w:pPr>
              <w:pStyle w:val="Header"/>
              <w:tabs>
                <w:tab w:val="clear" w:pos="4536"/>
                <w:tab w:val="clear" w:pos="9072"/>
              </w:tabs>
              <w:jc w:val="left"/>
            </w:pPr>
            <w:r>
              <w:t>Datum a místo</w:t>
            </w:r>
          </w:p>
        </w:tc>
        <w:tc>
          <w:tcPr>
            <w:tcW w:w="1847" w:type="pct"/>
            <w:gridSpan w:val="2"/>
          </w:tcPr>
          <w:p w:rsidR="005860B5" w:rsidRDefault="005860B5" w:rsidP="001F79FA">
            <w:pPr>
              <w:pStyle w:val="Header"/>
              <w:tabs>
                <w:tab w:val="clear" w:pos="4536"/>
                <w:tab w:val="clear" w:pos="9072"/>
              </w:tabs>
              <w:jc w:val="left"/>
            </w:pPr>
            <w:r>
              <w:t>Jméno oprávněné osoby</w:t>
            </w:r>
          </w:p>
        </w:tc>
        <w:tc>
          <w:tcPr>
            <w:tcW w:w="2019" w:type="pct"/>
          </w:tcPr>
          <w:p w:rsidR="005860B5" w:rsidRDefault="005860B5" w:rsidP="001F79FA">
            <w:pPr>
              <w:pStyle w:val="Header"/>
              <w:tabs>
                <w:tab w:val="clear" w:pos="4536"/>
                <w:tab w:val="clear" w:pos="9072"/>
              </w:tabs>
              <w:jc w:val="left"/>
            </w:pPr>
            <w:r>
              <w:t>Podpis oprávněné osoby a razítko oddílu*</w:t>
            </w:r>
          </w:p>
        </w:tc>
      </w:tr>
      <w:tr w:rsidR="005860B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pct"/>
          </w:tcPr>
          <w:p w:rsidR="005860B5" w:rsidRDefault="005860B5" w:rsidP="001F79FA">
            <w:pPr>
              <w:pStyle w:val="Header"/>
              <w:tabs>
                <w:tab w:val="clear" w:pos="4536"/>
                <w:tab w:val="clear" w:pos="9072"/>
              </w:tabs>
              <w:spacing w:before="600"/>
            </w:pPr>
            <w:r>
              <w:t>11.2.2018</w:t>
            </w:r>
          </w:p>
        </w:tc>
        <w:tc>
          <w:tcPr>
            <w:tcW w:w="1847" w:type="pct"/>
            <w:gridSpan w:val="2"/>
          </w:tcPr>
          <w:p w:rsidR="005860B5" w:rsidRDefault="005860B5" w:rsidP="001F79FA">
            <w:pPr>
              <w:pStyle w:val="Header"/>
              <w:tabs>
                <w:tab w:val="clear" w:pos="4536"/>
                <w:tab w:val="clear" w:pos="9072"/>
              </w:tabs>
              <w:spacing w:before="600"/>
            </w:pPr>
            <w:r>
              <w:t>Miroslav Sachl, předseda</w:t>
            </w:r>
          </w:p>
        </w:tc>
        <w:tc>
          <w:tcPr>
            <w:tcW w:w="2019" w:type="pct"/>
          </w:tcPr>
          <w:p w:rsidR="005860B5" w:rsidRDefault="005860B5" w:rsidP="001F79FA">
            <w:pPr>
              <w:pStyle w:val="Header"/>
              <w:tabs>
                <w:tab w:val="clear" w:pos="4536"/>
                <w:tab w:val="clear" w:pos="9072"/>
              </w:tabs>
              <w:spacing w:before="600"/>
              <w:jc w:val="center"/>
            </w:pPr>
            <w:r>
              <w:t>v.r.</w:t>
            </w:r>
          </w:p>
        </w:tc>
      </w:tr>
    </w:tbl>
    <w:p w:rsidR="005860B5" w:rsidRDefault="005860B5" w:rsidP="00483426">
      <w:pPr>
        <w:pStyle w:val="Header"/>
        <w:tabs>
          <w:tab w:val="clear" w:pos="4536"/>
          <w:tab w:val="clear" w:pos="9072"/>
        </w:tabs>
        <w:spacing w:before="120"/>
      </w:pPr>
      <w:r>
        <w:t>*) U KNS a orgánů ČNS není razítko vyžadováno.</w:t>
      </w:r>
    </w:p>
    <w:p w:rsidR="005860B5" w:rsidRDefault="005860B5" w:rsidP="00483426">
      <w:pPr>
        <w:pStyle w:val="Header"/>
        <w:tabs>
          <w:tab w:val="clear" w:pos="4536"/>
          <w:tab w:val="clear" w:pos="9072"/>
        </w:tabs>
        <w:spacing w:before="120" w:after="120"/>
      </w:pPr>
      <w:r>
        <w:t>V souladu se Stanovami ČNS oprávněný předkladatel předkládá níže uvedený návrh na změnu základního předpisu ČNS. Jeden návrh může obsahovat změnu více článků jednoho předpisu, ale pouze těch, do kterých navržená změna zasahuje. V opačném případě musí být každý navrženou změnou dotčený článek předkládán samostatně.</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3"/>
        <w:gridCol w:w="1268"/>
        <w:gridCol w:w="1516"/>
        <w:gridCol w:w="1387"/>
        <w:gridCol w:w="1828"/>
      </w:tblGrid>
      <w:tr w:rsidR="005860B5">
        <w:trPr>
          <w:cantSplit/>
          <w:jc w:val="center"/>
        </w:trPr>
        <w:tc>
          <w:tcPr>
            <w:tcW w:w="5000" w:type="pct"/>
            <w:gridSpan w:val="5"/>
            <w:shd w:val="pct20" w:color="auto" w:fill="auto"/>
          </w:tcPr>
          <w:p w:rsidR="005860B5" w:rsidRDefault="005860B5" w:rsidP="001F79FA">
            <w:pPr>
              <w:jc w:val="center"/>
              <w:rPr>
                <w:b/>
                <w:bCs/>
              </w:rPr>
            </w:pPr>
            <w:r>
              <w:rPr>
                <w:b/>
                <w:bCs/>
              </w:rPr>
              <w:t>NÁVRH ZMĚNY – 1. KOLO</w:t>
            </w:r>
          </w:p>
        </w:tc>
      </w:tr>
      <w:tr w:rsidR="005860B5">
        <w:trPr>
          <w:jc w:val="center"/>
        </w:trPr>
        <w:tc>
          <w:tcPr>
            <w:tcW w:w="1744" w:type="pct"/>
          </w:tcPr>
          <w:p w:rsidR="005860B5" w:rsidRPr="003B1C1E" w:rsidRDefault="005860B5" w:rsidP="003B1C1E">
            <w:pPr>
              <w:jc w:val="left"/>
              <w:rPr>
                <w:b/>
                <w:bCs/>
                <w:caps/>
              </w:rPr>
            </w:pPr>
            <w:r>
              <w:rPr>
                <w:b/>
                <w:bCs/>
              </w:rPr>
              <w:t>Název základního předpisu *</w:t>
            </w:r>
          </w:p>
        </w:tc>
        <w:tc>
          <w:tcPr>
            <w:tcW w:w="688" w:type="pct"/>
          </w:tcPr>
          <w:p w:rsidR="005860B5" w:rsidRPr="00A604D3" w:rsidRDefault="005860B5" w:rsidP="001F79FA">
            <w:pPr>
              <w:rPr>
                <w:strike/>
              </w:rPr>
            </w:pPr>
            <w:r w:rsidRPr="00A604D3">
              <w:rPr>
                <w:strike/>
              </w:rPr>
              <w:t>Stanovy</w:t>
            </w:r>
          </w:p>
        </w:tc>
        <w:tc>
          <w:tcPr>
            <w:tcW w:w="823" w:type="pct"/>
          </w:tcPr>
          <w:p w:rsidR="005860B5" w:rsidRPr="00A604D3" w:rsidRDefault="005860B5" w:rsidP="001F79FA">
            <w:pPr>
              <w:rPr>
                <w:strike/>
              </w:rPr>
            </w:pPr>
            <w:r w:rsidRPr="00A604D3">
              <w:rPr>
                <w:strike/>
              </w:rPr>
              <w:t>Soutěžní řád</w:t>
            </w:r>
          </w:p>
        </w:tc>
        <w:tc>
          <w:tcPr>
            <w:tcW w:w="753" w:type="pct"/>
          </w:tcPr>
          <w:p w:rsidR="005860B5" w:rsidRPr="003B1C1E" w:rsidRDefault="005860B5" w:rsidP="001F79FA">
            <w:pPr>
              <w:rPr>
                <w:strike/>
              </w:rPr>
            </w:pPr>
            <w:r w:rsidRPr="003B1C1E">
              <w:rPr>
                <w:strike/>
              </w:rPr>
              <w:t>Pravidla</w:t>
            </w:r>
          </w:p>
        </w:tc>
        <w:tc>
          <w:tcPr>
            <w:tcW w:w="992" w:type="pct"/>
          </w:tcPr>
          <w:p w:rsidR="005860B5" w:rsidRPr="003B1C1E" w:rsidRDefault="005860B5" w:rsidP="001F79FA">
            <w:r w:rsidRPr="003B1C1E">
              <w:t>Disciplinární řád</w:t>
            </w:r>
          </w:p>
          <w:p w:rsidR="005860B5" w:rsidRDefault="005860B5" w:rsidP="001F79FA">
            <w:pPr>
              <w:rPr>
                <w:strike/>
              </w:rPr>
            </w:pPr>
          </w:p>
          <w:p w:rsidR="005860B5" w:rsidRPr="00A604D3" w:rsidRDefault="005860B5" w:rsidP="001F79FA">
            <w:pPr>
              <w:rPr>
                <w:strike/>
              </w:rPr>
            </w:pPr>
          </w:p>
        </w:tc>
      </w:tr>
      <w:tr w:rsidR="005860B5">
        <w:trPr>
          <w:cantSplit/>
          <w:jc w:val="center"/>
        </w:trPr>
        <w:tc>
          <w:tcPr>
            <w:tcW w:w="5000" w:type="pct"/>
            <w:gridSpan w:val="5"/>
            <w:shd w:val="pct20" w:color="auto" w:fill="auto"/>
          </w:tcPr>
          <w:p w:rsidR="005860B5" w:rsidRPr="006C67B5" w:rsidRDefault="005860B5" w:rsidP="001F79FA">
            <w:pPr>
              <w:rPr>
                <w:b/>
                <w:bCs/>
              </w:rPr>
            </w:pPr>
            <w:r>
              <w:rPr>
                <w:b/>
                <w:bCs/>
              </w:rPr>
              <w:t>Změna (vyplňuje předkladatel)</w:t>
            </w:r>
          </w:p>
        </w:tc>
      </w:tr>
      <w:tr w:rsidR="005860B5">
        <w:trPr>
          <w:cantSplit/>
          <w:jc w:val="center"/>
        </w:trPr>
        <w:tc>
          <w:tcPr>
            <w:tcW w:w="5000" w:type="pct"/>
            <w:gridSpan w:val="5"/>
          </w:tcPr>
          <w:p w:rsidR="005860B5" w:rsidRPr="006C67B5" w:rsidRDefault="005860B5" w:rsidP="001F79FA">
            <w:pPr>
              <w:rPr>
                <w:b/>
                <w:bCs/>
              </w:rPr>
            </w:pPr>
            <w:r>
              <w:rPr>
                <w:b/>
                <w:bCs/>
              </w:rPr>
              <w:t>s</w:t>
            </w:r>
            <w:r w:rsidRPr="006C67B5">
              <w:rPr>
                <w:b/>
                <w:bCs/>
              </w:rPr>
              <w:t>távající text dotčeného článku</w:t>
            </w:r>
            <w:r>
              <w:rPr>
                <w:b/>
                <w:bCs/>
              </w:rPr>
              <w:t xml:space="preserve"> (vč. číslování a odrážek):</w:t>
            </w:r>
          </w:p>
        </w:tc>
      </w:tr>
      <w:tr w:rsidR="005860B5">
        <w:trPr>
          <w:cantSplit/>
          <w:jc w:val="center"/>
        </w:trPr>
        <w:tc>
          <w:tcPr>
            <w:tcW w:w="5000" w:type="pct"/>
            <w:gridSpan w:val="5"/>
          </w:tcPr>
          <w:p w:rsidR="005860B5" w:rsidRPr="00BC68B4" w:rsidRDefault="005860B5" w:rsidP="008735E8">
            <w:pPr>
              <w:pStyle w:val="Heading2"/>
              <w:rPr>
                <w:rFonts w:ascii="Times New Roman" w:hAnsi="Times New Roman"/>
                <w:color w:val="auto"/>
                <w:sz w:val="24"/>
                <w:szCs w:val="24"/>
                <w:u w:val="single"/>
              </w:rPr>
            </w:pPr>
            <w:bookmarkStart w:id="0" w:name="_Toc465455610"/>
            <w:r w:rsidRPr="00BC68B4">
              <w:rPr>
                <w:rFonts w:ascii="Times New Roman" w:hAnsi="Times New Roman"/>
                <w:color w:val="auto"/>
                <w:sz w:val="24"/>
                <w:szCs w:val="24"/>
                <w:u w:val="single"/>
              </w:rPr>
              <w:t>4.14 Provinění rozhodčích</w:t>
            </w:r>
            <w:bookmarkEnd w:id="0"/>
          </w:p>
          <w:p w:rsidR="005860B5" w:rsidRPr="00BC68B4" w:rsidRDefault="005860B5" w:rsidP="008735E8">
            <w:pPr>
              <w:pStyle w:val="Heading3"/>
              <w:rPr>
                <w:rFonts w:ascii="Times New Roman" w:hAnsi="Times New Roman"/>
                <w:b w:val="0"/>
                <w:color w:val="auto"/>
                <w:szCs w:val="24"/>
              </w:rPr>
            </w:pPr>
            <w:r w:rsidRPr="00BC68B4">
              <w:rPr>
                <w:rFonts w:ascii="Times New Roman" w:hAnsi="Times New Roman"/>
                <w:b w:val="0"/>
                <w:color w:val="auto"/>
                <w:szCs w:val="24"/>
              </w:rPr>
              <w:t>4.14.1 Kdo se jako rozhodčí neomluveně nedostaví k utkání, ke kterému byl delegován, bude postižen zákazem činnosti až na šest měsíců.</w:t>
            </w:r>
          </w:p>
          <w:p w:rsidR="005860B5" w:rsidRPr="00BC68B4" w:rsidRDefault="005860B5" w:rsidP="008735E8">
            <w:pPr>
              <w:pStyle w:val="Heading3"/>
              <w:rPr>
                <w:rFonts w:ascii="Times New Roman" w:hAnsi="Times New Roman"/>
                <w:b w:val="0"/>
                <w:color w:val="auto"/>
                <w:szCs w:val="24"/>
              </w:rPr>
            </w:pPr>
            <w:r w:rsidRPr="00BC68B4">
              <w:rPr>
                <w:rFonts w:ascii="Times New Roman" w:hAnsi="Times New Roman"/>
                <w:b w:val="0"/>
                <w:color w:val="auto"/>
                <w:szCs w:val="24"/>
              </w:rPr>
              <w:t xml:space="preserve">4.14.2 Kdo jako rozhodčí podstatně nebo opakovaně chybuje v řízení utkání či se chová neslučitelně s postavením rozhodčího, bude postižen zákazem činnosti až na tři měsíce. </w:t>
            </w:r>
          </w:p>
          <w:p w:rsidR="005860B5" w:rsidRPr="008735E8" w:rsidRDefault="005860B5" w:rsidP="008735E8">
            <w:pPr>
              <w:pStyle w:val="NoSpacing"/>
              <w:rPr>
                <w:rFonts w:ascii="Times New Roman" w:hAnsi="Times New Roman"/>
                <w:sz w:val="24"/>
                <w:szCs w:val="24"/>
              </w:rPr>
            </w:pPr>
          </w:p>
          <w:p w:rsidR="005860B5" w:rsidRPr="00BC68B4" w:rsidRDefault="005860B5" w:rsidP="008735E8">
            <w:pPr>
              <w:pStyle w:val="Heading3"/>
              <w:rPr>
                <w:rFonts w:ascii="Times New Roman" w:hAnsi="Times New Roman"/>
                <w:b w:val="0"/>
                <w:color w:val="auto"/>
                <w:szCs w:val="24"/>
              </w:rPr>
            </w:pPr>
            <w:r w:rsidRPr="00BC68B4">
              <w:rPr>
                <w:rFonts w:ascii="Times New Roman" w:hAnsi="Times New Roman"/>
                <w:b w:val="0"/>
                <w:color w:val="auto"/>
                <w:szCs w:val="24"/>
              </w:rPr>
              <w:t>4.14.3 Kdo jako rozhodčí podstatně nebo opakovaně chybuje v administrativě související s výkonem funkce, bude postižen zákazem činnosti až na jeden měsíc.</w:t>
            </w:r>
          </w:p>
          <w:p w:rsidR="005860B5" w:rsidRPr="00BC68B4" w:rsidRDefault="005860B5" w:rsidP="008735E8">
            <w:pPr>
              <w:pStyle w:val="Heading3"/>
              <w:rPr>
                <w:rFonts w:ascii="Times New Roman" w:hAnsi="Times New Roman"/>
                <w:b w:val="0"/>
                <w:color w:val="auto"/>
                <w:szCs w:val="24"/>
              </w:rPr>
            </w:pPr>
            <w:r w:rsidRPr="00BC68B4">
              <w:rPr>
                <w:rFonts w:ascii="Times New Roman" w:hAnsi="Times New Roman"/>
                <w:b w:val="0"/>
                <w:color w:val="auto"/>
                <w:szCs w:val="24"/>
              </w:rPr>
              <w:t>4.14.4 Skutkové podstaty a postihy dle článků 4.14.1 až 4.14.3 tohoto předpisu se použijí obdobně i na postih provinění instruktorů.</w:t>
            </w:r>
          </w:p>
          <w:p w:rsidR="005860B5" w:rsidRPr="008735E8" w:rsidRDefault="005860B5" w:rsidP="001F79FA">
            <w:pPr>
              <w:rPr>
                <w:sz w:val="23"/>
                <w:szCs w:val="23"/>
              </w:rPr>
            </w:pPr>
          </w:p>
        </w:tc>
      </w:tr>
    </w:tbl>
    <w:p w:rsidR="005860B5" w:rsidRDefault="005860B5">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3"/>
        <w:gridCol w:w="5999"/>
      </w:tblGrid>
      <w:tr w:rsidR="005860B5">
        <w:trPr>
          <w:cantSplit/>
          <w:jc w:val="center"/>
        </w:trPr>
        <w:tc>
          <w:tcPr>
            <w:tcW w:w="5000" w:type="pct"/>
            <w:gridSpan w:val="2"/>
          </w:tcPr>
          <w:p w:rsidR="005860B5" w:rsidRPr="006C67B5" w:rsidRDefault="005860B5" w:rsidP="001F79FA">
            <w:pPr>
              <w:rPr>
                <w:b/>
                <w:bCs/>
              </w:rPr>
            </w:pPr>
            <w:r>
              <w:rPr>
                <w:b/>
                <w:bCs/>
              </w:rPr>
              <w:t>navržený</w:t>
            </w:r>
            <w:r w:rsidRPr="006C67B5">
              <w:rPr>
                <w:b/>
                <w:bCs/>
              </w:rPr>
              <w:t xml:space="preserve"> </w:t>
            </w:r>
            <w:r>
              <w:rPr>
                <w:b/>
                <w:bCs/>
              </w:rPr>
              <w:t xml:space="preserve">nový </w:t>
            </w:r>
            <w:r w:rsidRPr="006C67B5">
              <w:rPr>
                <w:b/>
                <w:bCs/>
              </w:rPr>
              <w:t>text dotčeného článku</w:t>
            </w:r>
            <w:r>
              <w:rPr>
                <w:b/>
                <w:bCs/>
              </w:rPr>
              <w:t xml:space="preserve"> (vč. číslování a odrážek):</w:t>
            </w:r>
          </w:p>
        </w:tc>
      </w:tr>
      <w:tr w:rsidR="005860B5" w:rsidRPr="006C67B5">
        <w:trPr>
          <w:cantSplit/>
          <w:jc w:val="center"/>
        </w:trPr>
        <w:tc>
          <w:tcPr>
            <w:tcW w:w="5000" w:type="pct"/>
            <w:gridSpan w:val="2"/>
          </w:tcPr>
          <w:p w:rsidR="005860B5" w:rsidRPr="00BC68B4" w:rsidRDefault="005860B5" w:rsidP="008735E8">
            <w:pPr>
              <w:pStyle w:val="Heading2"/>
              <w:rPr>
                <w:rFonts w:ascii="Times New Roman" w:hAnsi="Times New Roman"/>
                <w:color w:val="auto"/>
                <w:sz w:val="24"/>
                <w:szCs w:val="24"/>
                <w:u w:val="single"/>
              </w:rPr>
            </w:pPr>
            <w:r w:rsidRPr="00BC68B4">
              <w:rPr>
                <w:rFonts w:ascii="Times New Roman" w:hAnsi="Times New Roman"/>
                <w:color w:val="auto"/>
                <w:sz w:val="24"/>
                <w:szCs w:val="24"/>
                <w:u w:val="single"/>
              </w:rPr>
              <w:t>4.14 Provinění rozhodčích</w:t>
            </w:r>
          </w:p>
          <w:p w:rsidR="005860B5" w:rsidRPr="00BC68B4" w:rsidRDefault="005860B5" w:rsidP="008735E8">
            <w:pPr>
              <w:pStyle w:val="Heading3"/>
              <w:rPr>
                <w:rFonts w:ascii="Times New Roman" w:hAnsi="Times New Roman"/>
                <w:b w:val="0"/>
                <w:color w:val="auto"/>
                <w:szCs w:val="24"/>
              </w:rPr>
            </w:pPr>
            <w:r w:rsidRPr="00BC68B4">
              <w:rPr>
                <w:rFonts w:ascii="Times New Roman" w:hAnsi="Times New Roman"/>
                <w:b w:val="0"/>
                <w:color w:val="auto"/>
                <w:szCs w:val="24"/>
              </w:rPr>
              <w:t>4.14.1 Kdo se jako rozhodčí neomluveně nedostaví k utkání, ke kterému byl delegován, bude postižen zákazem činnosti až na šest měsíců nebo pokutou do výše 5.000 Kč.</w:t>
            </w:r>
          </w:p>
          <w:p w:rsidR="005860B5" w:rsidRPr="00BC68B4" w:rsidRDefault="005860B5" w:rsidP="008735E8">
            <w:pPr>
              <w:pStyle w:val="Heading3"/>
              <w:rPr>
                <w:rFonts w:ascii="Times New Roman" w:hAnsi="Times New Roman"/>
                <w:szCs w:val="24"/>
              </w:rPr>
            </w:pPr>
            <w:r w:rsidRPr="00BC68B4">
              <w:rPr>
                <w:rFonts w:ascii="Times New Roman" w:hAnsi="Times New Roman"/>
                <w:b w:val="0"/>
                <w:color w:val="auto"/>
                <w:szCs w:val="24"/>
              </w:rPr>
              <w:t>4.14.2 Kdo jako rozhodčí podstatně nebo opakovaně chybuje v řízení utkání či se chová neslučitelně s postavením rozhodčího, bude postižen zákazem činnosti až na tři měsíce nebo pokutou do výše 3.000 Kč.</w:t>
            </w:r>
          </w:p>
          <w:p w:rsidR="005860B5" w:rsidRPr="00BC68B4" w:rsidRDefault="005860B5" w:rsidP="008735E8">
            <w:pPr>
              <w:pStyle w:val="Heading3"/>
              <w:rPr>
                <w:rFonts w:ascii="Times New Roman" w:hAnsi="Times New Roman"/>
                <w:b w:val="0"/>
                <w:color w:val="auto"/>
                <w:szCs w:val="24"/>
              </w:rPr>
            </w:pPr>
            <w:r w:rsidRPr="00BC68B4">
              <w:rPr>
                <w:rFonts w:ascii="Times New Roman" w:hAnsi="Times New Roman"/>
                <w:b w:val="0"/>
                <w:color w:val="auto"/>
                <w:szCs w:val="24"/>
              </w:rPr>
              <w:t>4.14.3 Kdo jako rozhodčí podstatně nebo opakovaně chybuje v administrativě související s výkonem funkce, bude postižen zákazem činnosti až na jeden měsíc nebo pokutou do výše 1.000 Kč.</w:t>
            </w:r>
          </w:p>
          <w:p w:rsidR="005860B5" w:rsidRPr="00BC68B4" w:rsidRDefault="005860B5" w:rsidP="008735E8">
            <w:pPr>
              <w:pStyle w:val="Heading3"/>
              <w:rPr>
                <w:rFonts w:ascii="Times New Roman" w:hAnsi="Times New Roman"/>
                <w:b w:val="0"/>
                <w:color w:val="auto"/>
                <w:szCs w:val="24"/>
              </w:rPr>
            </w:pPr>
            <w:r w:rsidRPr="00BC68B4">
              <w:rPr>
                <w:rFonts w:ascii="Times New Roman" w:hAnsi="Times New Roman"/>
                <w:b w:val="0"/>
                <w:color w:val="auto"/>
                <w:szCs w:val="24"/>
              </w:rPr>
              <w:t>4.14.4 Skutkové podstaty a postihy dle článků 4.14.1 až 4.14.3 tohoto předpisu se použijí obdobně i na postih provinění instruktorů.</w:t>
            </w:r>
          </w:p>
          <w:p w:rsidR="005860B5" w:rsidRPr="006C67B5" w:rsidRDefault="005860B5" w:rsidP="001F79FA"/>
        </w:tc>
      </w:tr>
      <w:tr w:rsidR="005860B5" w:rsidRPr="006C67B5">
        <w:trPr>
          <w:cantSplit/>
          <w:jc w:val="center"/>
        </w:trPr>
        <w:tc>
          <w:tcPr>
            <w:tcW w:w="5000" w:type="pct"/>
            <w:gridSpan w:val="2"/>
          </w:tcPr>
          <w:p w:rsidR="005860B5" w:rsidRPr="006C67B5" w:rsidRDefault="005860B5" w:rsidP="001F79FA">
            <w:pPr>
              <w:rPr>
                <w:b/>
                <w:bCs/>
              </w:rPr>
            </w:pPr>
            <w:r>
              <w:rPr>
                <w:b/>
                <w:bCs/>
              </w:rPr>
              <w:t>z</w:t>
            </w:r>
            <w:r w:rsidRPr="006C67B5">
              <w:rPr>
                <w:b/>
                <w:bCs/>
              </w:rPr>
              <w:t>důvodnění návrhu</w:t>
            </w:r>
            <w:r>
              <w:rPr>
                <w:b/>
                <w:bCs/>
              </w:rPr>
              <w:t xml:space="preserve">: </w:t>
            </w:r>
          </w:p>
        </w:tc>
      </w:tr>
      <w:tr w:rsidR="005860B5" w:rsidRPr="006C67B5">
        <w:trPr>
          <w:cantSplit/>
          <w:jc w:val="center"/>
        </w:trPr>
        <w:tc>
          <w:tcPr>
            <w:tcW w:w="5000" w:type="pct"/>
            <w:gridSpan w:val="2"/>
          </w:tcPr>
          <w:p w:rsidR="005860B5" w:rsidRDefault="005860B5" w:rsidP="008735E8">
            <w:r>
              <w:t>Z důvodu stále přetrvávajícího nedostatku kvalitních rozhodčích, by měla být umožněna varianta trestat i finančně, nikoliv zastavením činnosti. Přičemž zůstává v účinnosti sazebník pokut za jednotlivá, převážně administrativní provinění, vydaný Komisí rozhodčích a schválený VV ČNS.</w:t>
            </w:r>
          </w:p>
          <w:p w:rsidR="005860B5" w:rsidRPr="006C67B5" w:rsidRDefault="005860B5" w:rsidP="008735E8"/>
        </w:tc>
      </w:tr>
      <w:tr w:rsidR="005860B5" w:rsidRPr="006C67B5">
        <w:trPr>
          <w:cantSplit/>
          <w:jc w:val="center"/>
        </w:trPr>
        <w:tc>
          <w:tcPr>
            <w:tcW w:w="5000" w:type="pct"/>
            <w:gridSpan w:val="2"/>
            <w:shd w:val="pct20" w:color="auto" w:fill="auto"/>
          </w:tcPr>
          <w:p w:rsidR="005860B5" w:rsidRPr="005B7A43" w:rsidRDefault="005860B5" w:rsidP="001F79FA">
            <w:pPr>
              <w:rPr>
                <w:b/>
                <w:bCs/>
              </w:rPr>
            </w:pPr>
            <w:r w:rsidRPr="005B7A43">
              <w:rPr>
                <w:b/>
                <w:bCs/>
              </w:rPr>
              <w:t>Doporučení 1</w:t>
            </w:r>
            <w:r>
              <w:rPr>
                <w:b/>
                <w:bCs/>
              </w:rPr>
              <w:t xml:space="preserve"> (vyplňuje orgán ČNS)</w:t>
            </w:r>
          </w:p>
        </w:tc>
      </w:tr>
      <w:tr w:rsidR="005860B5">
        <w:trPr>
          <w:jc w:val="center"/>
        </w:trPr>
        <w:tc>
          <w:tcPr>
            <w:tcW w:w="1744" w:type="pct"/>
          </w:tcPr>
          <w:p w:rsidR="005860B5" w:rsidRDefault="005860B5" w:rsidP="001F79FA">
            <w:pPr>
              <w:jc w:val="left"/>
              <w:rPr>
                <w:b/>
                <w:bCs/>
                <w:caps/>
              </w:rPr>
            </w:pPr>
            <w:r>
              <w:rPr>
                <w:b/>
                <w:bCs/>
              </w:rPr>
              <w:t>Název orgánu ČNS</w:t>
            </w:r>
          </w:p>
        </w:tc>
        <w:tc>
          <w:tcPr>
            <w:tcW w:w="3256" w:type="pct"/>
          </w:tcPr>
          <w:p w:rsidR="005860B5" w:rsidRDefault="005860B5" w:rsidP="001F79FA">
            <w:r>
              <w:t>VV ČNS</w:t>
            </w:r>
          </w:p>
        </w:tc>
      </w:tr>
      <w:tr w:rsidR="005860B5" w:rsidRPr="006C67B5">
        <w:trPr>
          <w:cantSplit/>
          <w:jc w:val="center"/>
        </w:trPr>
        <w:tc>
          <w:tcPr>
            <w:tcW w:w="5000" w:type="pct"/>
            <w:gridSpan w:val="2"/>
          </w:tcPr>
          <w:p w:rsidR="005860B5" w:rsidRPr="006C67B5" w:rsidRDefault="005860B5"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5860B5" w:rsidRPr="006C67B5">
        <w:trPr>
          <w:cantSplit/>
          <w:jc w:val="center"/>
        </w:trPr>
        <w:tc>
          <w:tcPr>
            <w:tcW w:w="5000" w:type="pct"/>
            <w:gridSpan w:val="2"/>
          </w:tcPr>
          <w:p w:rsidR="005860B5" w:rsidRPr="006C67B5" w:rsidRDefault="005860B5" w:rsidP="001F79FA">
            <w:pPr>
              <w:spacing w:before="120"/>
            </w:pPr>
            <w:r>
              <w:t>VV ČNS doporučuje přijetí uvedeného návrhu ze stejného důvodu popsaného předkladatelem.</w:t>
            </w:r>
            <w:bookmarkStart w:id="1" w:name="_GoBack"/>
            <w:bookmarkEnd w:id="1"/>
          </w:p>
        </w:tc>
      </w:tr>
      <w:tr w:rsidR="005860B5" w:rsidRPr="006C67B5">
        <w:trPr>
          <w:cantSplit/>
          <w:jc w:val="center"/>
        </w:trPr>
        <w:tc>
          <w:tcPr>
            <w:tcW w:w="5000" w:type="pct"/>
            <w:gridSpan w:val="2"/>
            <w:shd w:val="pct20" w:color="auto" w:fill="auto"/>
          </w:tcPr>
          <w:p w:rsidR="005860B5" w:rsidRPr="005B7A43" w:rsidRDefault="005860B5" w:rsidP="001F79FA">
            <w:pPr>
              <w:rPr>
                <w:b/>
                <w:bCs/>
              </w:rPr>
            </w:pPr>
            <w:r w:rsidRPr="005B7A43">
              <w:rPr>
                <w:b/>
                <w:bCs/>
              </w:rPr>
              <w:t xml:space="preserve">Doporučení </w:t>
            </w:r>
            <w:r>
              <w:rPr>
                <w:b/>
                <w:bCs/>
              </w:rPr>
              <w:t>2 (vyplňuje orgán ČNS)</w:t>
            </w:r>
          </w:p>
        </w:tc>
      </w:tr>
      <w:tr w:rsidR="005860B5">
        <w:trPr>
          <w:jc w:val="center"/>
        </w:trPr>
        <w:tc>
          <w:tcPr>
            <w:tcW w:w="1744" w:type="pct"/>
          </w:tcPr>
          <w:p w:rsidR="005860B5" w:rsidRDefault="005860B5" w:rsidP="001F79FA">
            <w:pPr>
              <w:jc w:val="left"/>
              <w:rPr>
                <w:b/>
                <w:bCs/>
                <w:caps/>
              </w:rPr>
            </w:pPr>
            <w:r>
              <w:rPr>
                <w:b/>
                <w:bCs/>
              </w:rPr>
              <w:t>Název orgánu ČNS</w:t>
            </w:r>
          </w:p>
        </w:tc>
        <w:tc>
          <w:tcPr>
            <w:tcW w:w="3256" w:type="pct"/>
          </w:tcPr>
          <w:p w:rsidR="005860B5" w:rsidRDefault="005860B5" w:rsidP="001F79FA">
            <w:r>
              <w:t>KTR ČNS</w:t>
            </w:r>
          </w:p>
        </w:tc>
      </w:tr>
      <w:tr w:rsidR="005860B5" w:rsidRPr="006C67B5">
        <w:trPr>
          <w:cantSplit/>
          <w:jc w:val="center"/>
        </w:trPr>
        <w:tc>
          <w:tcPr>
            <w:tcW w:w="5000" w:type="pct"/>
            <w:gridSpan w:val="2"/>
          </w:tcPr>
          <w:p w:rsidR="005860B5" w:rsidRPr="006C67B5" w:rsidRDefault="005860B5"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5860B5" w:rsidRPr="006C67B5">
        <w:trPr>
          <w:cantSplit/>
          <w:jc w:val="center"/>
        </w:trPr>
        <w:tc>
          <w:tcPr>
            <w:tcW w:w="5000" w:type="pct"/>
            <w:gridSpan w:val="2"/>
          </w:tcPr>
          <w:p w:rsidR="005860B5" w:rsidRDefault="005860B5" w:rsidP="00911622">
            <w:r>
              <w:t>Komise se ztotožňuje se zdůvodněním předkladatele a doporučuje schválení návrhu. Obecně je v prostředí sportovních svazů trendem „tvrdé“ disciplinární tresty nahrazovat vyššími pokutami, které pro provinilý oddíl nemusí mít likvidační charakter a rozpočet svazu si vylepší příjmovou část.</w:t>
            </w:r>
          </w:p>
          <w:p w:rsidR="005860B5" w:rsidRPr="006C67B5" w:rsidRDefault="005860B5" w:rsidP="001F79FA"/>
        </w:tc>
      </w:tr>
      <w:tr w:rsidR="005860B5" w:rsidRPr="005B7A43">
        <w:trPr>
          <w:cantSplit/>
          <w:jc w:val="center"/>
        </w:trPr>
        <w:tc>
          <w:tcPr>
            <w:tcW w:w="5000" w:type="pct"/>
            <w:gridSpan w:val="2"/>
            <w:shd w:val="pct20" w:color="auto" w:fill="auto"/>
          </w:tcPr>
          <w:p w:rsidR="005860B5" w:rsidRPr="005B7A43" w:rsidRDefault="005860B5" w:rsidP="001F79FA">
            <w:pPr>
              <w:rPr>
                <w:b/>
                <w:bCs/>
              </w:rPr>
            </w:pPr>
            <w:r w:rsidRPr="005B7A43">
              <w:rPr>
                <w:b/>
                <w:bCs/>
              </w:rPr>
              <w:t xml:space="preserve">Doporučení </w:t>
            </w:r>
            <w:r>
              <w:rPr>
                <w:b/>
                <w:bCs/>
              </w:rPr>
              <w:t>3 (vyplňuje orgán ČNS)</w:t>
            </w:r>
          </w:p>
        </w:tc>
      </w:tr>
      <w:tr w:rsidR="005860B5">
        <w:trPr>
          <w:jc w:val="center"/>
        </w:trPr>
        <w:tc>
          <w:tcPr>
            <w:tcW w:w="1744" w:type="pct"/>
          </w:tcPr>
          <w:p w:rsidR="005860B5" w:rsidRDefault="005860B5" w:rsidP="001F79FA">
            <w:pPr>
              <w:jc w:val="left"/>
              <w:rPr>
                <w:b/>
                <w:bCs/>
                <w:caps/>
              </w:rPr>
            </w:pPr>
            <w:r>
              <w:rPr>
                <w:b/>
                <w:bCs/>
              </w:rPr>
              <w:t>Název orgánu ČNS</w:t>
            </w:r>
          </w:p>
        </w:tc>
        <w:tc>
          <w:tcPr>
            <w:tcW w:w="3256" w:type="pct"/>
          </w:tcPr>
          <w:p w:rsidR="005860B5" w:rsidRDefault="005860B5" w:rsidP="001F79FA"/>
        </w:tc>
      </w:tr>
      <w:tr w:rsidR="005860B5" w:rsidRPr="006C67B5">
        <w:trPr>
          <w:cantSplit/>
          <w:jc w:val="center"/>
        </w:trPr>
        <w:tc>
          <w:tcPr>
            <w:tcW w:w="5000" w:type="pct"/>
            <w:gridSpan w:val="2"/>
          </w:tcPr>
          <w:p w:rsidR="005860B5" w:rsidRPr="006C67B5" w:rsidRDefault="005860B5"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5860B5" w:rsidRPr="006C67B5">
        <w:trPr>
          <w:cantSplit/>
          <w:jc w:val="center"/>
        </w:trPr>
        <w:tc>
          <w:tcPr>
            <w:tcW w:w="5000" w:type="pct"/>
            <w:gridSpan w:val="2"/>
          </w:tcPr>
          <w:p w:rsidR="005860B5" w:rsidRPr="00A73632" w:rsidRDefault="005860B5" w:rsidP="001F79FA">
            <w:pPr>
              <w:rPr>
                <w:b/>
                <w:bCs/>
              </w:rPr>
            </w:pPr>
          </w:p>
          <w:p w:rsidR="005860B5" w:rsidRPr="00A73632" w:rsidRDefault="005860B5" w:rsidP="001F79FA">
            <w:pPr>
              <w:rPr>
                <w:b/>
                <w:bCs/>
              </w:rPr>
            </w:pPr>
          </w:p>
        </w:tc>
      </w:tr>
    </w:tbl>
    <w:p w:rsidR="005860B5" w:rsidRDefault="005860B5"/>
    <w:sectPr w:rsidR="005860B5" w:rsidSect="009F3B83">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2D4"/>
    <w:rsid w:val="00003E21"/>
    <w:rsid w:val="00007594"/>
    <w:rsid w:val="00021794"/>
    <w:rsid w:val="000268ED"/>
    <w:rsid w:val="00033387"/>
    <w:rsid w:val="00034CFB"/>
    <w:rsid w:val="000714B3"/>
    <w:rsid w:val="00090465"/>
    <w:rsid w:val="00093791"/>
    <w:rsid w:val="00095828"/>
    <w:rsid w:val="000A206A"/>
    <w:rsid w:val="000B4998"/>
    <w:rsid w:val="000D49AF"/>
    <w:rsid w:val="000F05E8"/>
    <w:rsid w:val="0010394F"/>
    <w:rsid w:val="00116F2C"/>
    <w:rsid w:val="00132207"/>
    <w:rsid w:val="0013324A"/>
    <w:rsid w:val="00142DD8"/>
    <w:rsid w:val="0015635C"/>
    <w:rsid w:val="0015772E"/>
    <w:rsid w:val="001619F7"/>
    <w:rsid w:val="00167D4E"/>
    <w:rsid w:val="00185271"/>
    <w:rsid w:val="0019618F"/>
    <w:rsid w:val="00196ECC"/>
    <w:rsid w:val="001B3BB3"/>
    <w:rsid w:val="001B7698"/>
    <w:rsid w:val="001C21DC"/>
    <w:rsid w:val="001D32F7"/>
    <w:rsid w:val="001D5D48"/>
    <w:rsid w:val="001E3DC7"/>
    <w:rsid w:val="001E5472"/>
    <w:rsid w:val="001E65E2"/>
    <w:rsid w:val="001F79FA"/>
    <w:rsid w:val="00212A58"/>
    <w:rsid w:val="002159BE"/>
    <w:rsid w:val="002169DF"/>
    <w:rsid w:val="002379AE"/>
    <w:rsid w:val="00251CEA"/>
    <w:rsid w:val="0025532A"/>
    <w:rsid w:val="00261B94"/>
    <w:rsid w:val="002636B8"/>
    <w:rsid w:val="00266F69"/>
    <w:rsid w:val="00276FB8"/>
    <w:rsid w:val="00280315"/>
    <w:rsid w:val="00291889"/>
    <w:rsid w:val="00296077"/>
    <w:rsid w:val="002A3BA1"/>
    <w:rsid w:val="002A50C0"/>
    <w:rsid w:val="002B1D83"/>
    <w:rsid w:val="002C16CC"/>
    <w:rsid w:val="002D2036"/>
    <w:rsid w:val="002D5B68"/>
    <w:rsid w:val="002E3E5B"/>
    <w:rsid w:val="002E771A"/>
    <w:rsid w:val="002F08FC"/>
    <w:rsid w:val="002F2717"/>
    <w:rsid w:val="0030514B"/>
    <w:rsid w:val="00313668"/>
    <w:rsid w:val="00334577"/>
    <w:rsid w:val="00335D07"/>
    <w:rsid w:val="00340795"/>
    <w:rsid w:val="00341C3A"/>
    <w:rsid w:val="00347270"/>
    <w:rsid w:val="00373A0F"/>
    <w:rsid w:val="003819FA"/>
    <w:rsid w:val="00381F23"/>
    <w:rsid w:val="00384DDD"/>
    <w:rsid w:val="00390714"/>
    <w:rsid w:val="003A0929"/>
    <w:rsid w:val="003A21F0"/>
    <w:rsid w:val="003B02E7"/>
    <w:rsid w:val="003B1C1E"/>
    <w:rsid w:val="003B3FDA"/>
    <w:rsid w:val="003B580D"/>
    <w:rsid w:val="003B61A0"/>
    <w:rsid w:val="003B655A"/>
    <w:rsid w:val="003C13B9"/>
    <w:rsid w:val="003C2BE1"/>
    <w:rsid w:val="003D7E07"/>
    <w:rsid w:val="003E3BCC"/>
    <w:rsid w:val="003F7C9F"/>
    <w:rsid w:val="0041744F"/>
    <w:rsid w:val="0041746E"/>
    <w:rsid w:val="00421D44"/>
    <w:rsid w:val="00437EA5"/>
    <w:rsid w:val="00447D06"/>
    <w:rsid w:val="00453495"/>
    <w:rsid w:val="00453870"/>
    <w:rsid w:val="004642FA"/>
    <w:rsid w:val="004808D7"/>
    <w:rsid w:val="00483426"/>
    <w:rsid w:val="00492E29"/>
    <w:rsid w:val="004940A0"/>
    <w:rsid w:val="004A516D"/>
    <w:rsid w:val="004B6758"/>
    <w:rsid w:val="004F077B"/>
    <w:rsid w:val="004F1403"/>
    <w:rsid w:val="004F59C8"/>
    <w:rsid w:val="00500B4D"/>
    <w:rsid w:val="005051A7"/>
    <w:rsid w:val="00517028"/>
    <w:rsid w:val="005221C5"/>
    <w:rsid w:val="0052568F"/>
    <w:rsid w:val="00532A65"/>
    <w:rsid w:val="00533637"/>
    <w:rsid w:val="005356E7"/>
    <w:rsid w:val="00537AD4"/>
    <w:rsid w:val="00545515"/>
    <w:rsid w:val="00545995"/>
    <w:rsid w:val="00546E18"/>
    <w:rsid w:val="00560CC5"/>
    <w:rsid w:val="00572A72"/>
    <w:rsid w:val="00576C94"/>
    <w:rsid w:val="00577BBA"/>
    <w:rsid w:val="00577EAA"/>
    <w:rsid w:val="005828B8"/>
    <w:rsid w:val="005829DD"/>
    <w:rsid w:val="00584908"/>
    <w:rsid w:val="005860B5"/>
    <w:rsid w:val="00586636"/>
    <w:rsid w:val="00586E4B"/>
    <w:rsid w:val="00586E84"/>
    <w:rsid w:val="005A156C"/>
    <w:rsid w:val="005A166F"/>
    <w:rsid w:val="005A3BC8"/>
    <w:rsid w:val="005A7B66"/>
    <w:rsid w:val="005B079B"/>
    <w:rsid w:val="005B329E"/>
    <w:rsid w:val="005B7A43"/>
    <w:rsid w:val="005D6007"/>
    <w:rsid w:val="005F40A2"/>
    <w:rsid w:val="005F65EE"/>
    <w:rsid w:val="0060130C"/>
    <w:rsid w:val="0062114C"/>
    <w:rsid w:val="00627546"/>
    <w:rsid w:val="0063105F"/>
    <w:rsid w:val="00635120"/>
    <w:rsid w:val="0065419A"/>
    <w:rsid w:val="006552FE"/>
    <w:rsid w:val="00657C3B"/>
    <w:rsid w:val="006605C3"/>
    <w:rsid w:val="006658A1"/>
    <w:rsid w:val="00674173"/>
    <w:rsid w:val="00677AA2"/>
    <w:rsid w:val="006A1A7F"/>
    <w:rsid w:val="006B0425"/>
    <w:rsid w:val="006B64CF"/>
    <w:rsid w:val="006C13F3"/>
    <w:rsid w:val="006C328C"/>
    <w:rsid w:val="006C3C14"/>
    <w:rsid w:val="006C5023"/>
    <w:rsid w:val="006C67B5"/>
    <w:rsid w:val="006C6B04"/>
    <w:rsid w:val="006E1902"/>
    <w:rsid w:val="00700C03"/>
    <w:rsid w:val="00701E95"/>
    <w:rsid w:val="00721682"/>
    <w:rsid w:val="00724933"/>
    <w:rsid w:val="00725A1B"/>
    <w:rsid w:val="00734408"/>
    <w:rsid w:val="00735AB7"/>
    <w:rsid w:val="0074472B"/>
    <w:rsid w:val="007519FB"/>
    <w:rsid w:val="00764821"/>
    <w:rsid w:val="00773D7F"/>
    <w:rsid w:val="0079215B"/>
    <w:rsid w:val="007954FA"/>
    <w:rsid w:val="007B389A"/>
    <w:rsid w:val="007C1E9E"/>
    <w:rsid w:val="007D574B"/>
    <w:rsid w:val="007E1770"/>
    <w:rsid w:val="00812D79"/>
    <w:rsid w:val="008248B5"/>
    <w:rsid w:val="00834B65"/>
    <w:rsid w:val="00845985"/>
    <w:rsid w:val="00846203"/>
    <w:rsid w:val="00854101"/>
    <w:rsid w:val="008576B7"/>
    <w:rsid w:val="00860129"/>
    <w:rsid w:val="008735E8"/>
    <w:rsid w:val="008856CD"/>
    <w:rsid w:val="008A10A2"/>
    <w:rsid w:val="008A4258"/>
    <w:rsid w:val="008A5DA4"/>
    <w:rsid w:val="008B0172"/>
    <w:rsid w:val="008B5C2C"/>
    <w:rsid w:val="008B5D55"/>
    <w:rsid w:val="008C42FD"/>
    <w:rsid w:val="008C7011"/>
    <w:rsid w:val="008D391A"/>
    <w:rsid w:val="008E32F2"/>
    <w:rsid w:val="008E533E"/>
    <w:rsid w:val="00904FAB"/>
    <w:rsid w:val="00911622"/>
    <w:rsid w:val="00921F82"/>
    <w:rsid w:val="00935503"/>
    <w:rsid w:val="0096052E"/>
    <w:rsid w:val="00964B9E"/>
    <w:rsid w:val="009715FC"/>
    <w:rsid w:val="009755EC"/>
    <w:rsid w:val="00976BED"/>
    <w:rsid w:val="00976D98"/>
    <w:rsid w:val="009807DD"/>
    <w:rsid w:val="0099131C"/>
    <w:rsid w:val="00995A0F"/>
    <w:rsid w:val="009A05AB"/>
    <w:rsid w:val="009B2575"/>
    <w:rsid w:val="009C2294"/>
    <w:rsid w:val="009D06C1"/>
    <w:rsid w:val="009D3947"/>
    <w:rsid w:val="009E0C74"/>
    <w:rsid w:val="009F3B83"/>
    <w:rsid w:val="00A11AD7"/>
    <w:rsid w:val="00A12314"/>
    <w:rsid w:val="00A255F7"/>
    <w:rsid w:val="00A35836"/>
    <w:rsid w:val="00A37902"/>
    <w:rsid w:val="00A37A92"/>
    <w:rsid w:val="00A604D3"/>
    <w:rsid w:val="00A63B38"/>
    <w:rsid w:val="00A704E6"/>
    <w:rsid w:val="00A70AB5"/>
    <w:rsid w:val="00A73632"/>
    <w:rsid w:val="00AB072C"/>
    <w:rsid w:val="00AB4F01"/>
    <w:rsid w:val="00AC396D"/>
    <w:rsid w:val="00AF26EC"/>
    <w:rsid w:val="00B12949"/>
    <w:rsid w:val="00B17C4D"/>
    <w:rsid w:val="00B17FFC"/>
    <w:rsid w:val="00B21EC9"/>
    <w:rsid w:val="00B22B2B"/>
    <w:rsid w:val="00B24489"/>
    <w:rsid w:val="00B347D8"/>
    <w:rsid w:val="00B42260"/>
    <w:rsid w:val="00B45BCE"/>
    <w:rsid w:val="00B53652"/>
    <w:rsid w:val="00B542D4"/>
    <w:rsid w:val="00B60FAA"/>
    <w:rsid w:val="00B96949"/>
    <w:rsid w:val="00BA13E5"/>
    <w:rsid w:val="00BB5833"/>
    <w:rsid w:val="00BC66CB"/>
    <w:rsid w:val="00BC68B4"/>
    <w:rsid w:val="00BE48F1"/>
    <w:rsid w:val="00C12138"/>
    <w:rsid w:val="00C21406"/>
    <w:rsid w:val="00C21B9F"/>
    <w:rsid w:val="00C22410"/>
    <w:rsid w:val="00C23104"/>
    <w:rsid w:val="00C243E4"/>
    <w:rsid w:val="00C30FB7"/>
    <w:rsid w:val="00C55707"/>
    <w:rsid w:val="00C578C2"/>
    <w:rsid w:val="00C6000F"/>
    <w:rsid w:val="00C628E7"/>
    <w:rsid w:val="00C63424"/>
    <w:rsid w:val="00C6686D"/>
    <w:rsid w:val="00C7733C"/>
    <w:rsid w:val="00C82F4F"/>
    <w:rsid w:val="00C839A3"/>
    <w:rsid w:val="00C86D1D"/>
    <w:rsid w:val="00C90011"/>
    <w:rsid w:val="00C942C8"/>
    <w:rsid w:val="00C957BA"/>
    <w:rsid w:val="00CA01E4"/>
    <w:rsid w:val="00CA1CBD"/>
    <w:rsid w:val="00CA6753"/>
    <w:rsid w:val="00CB2352"/>
    <w:rsid w:val="00CB6942"/>
    <w:rsid w:val="00CC0EF2"/>
    <w:rsid w:val="00CC6B77"/>
    <w:rsid w:val="00CD015B"/>
    <w:rsid w:val="00CD0D4E"/>
    <w:rsid w:val="00CE0FBC"/>
    <w:rsid w:val="00CE4ACC"/>
    <w:rsid w:val="00D01EB1"/>
    <w:rsid w:val="00D0306B"/>
    <w:rsid w:val="00D06256"/>
    <w:rsid w:val="00D0761D"/>
    <w:rsid w:val="00D27F2B"/>
    <w:rsid w:val="00D41053"/>
    <w:rsid w:val="00D43DC4"/>
    <w:rsid w:val="00D675D1"/>
    <w:rsid w:val="00D719AB"/>
    <w:rsid w:val="00D823FD"/>
    <w:rsid w:val="00D87D68"/>
    <w:rsid w:val="00D934A6"/>
    <w:rsid w:val="00DA4475"/>
    <w:rsid w:val="00DA6053"/>
    <w:rsid w:val="00DA7A95"/>
    <w:rsid w:val="00DD5171"/>
    <w:rsid w:val="00DE0556"/>
    <w:rsid w:val="00DE1978"/>
    <w:rsid w:val="00DE3CB8"/>
    <w:rsid w:val="00DE5656"/>
    <w:rsid w:val="00E10C7B"/>
    <w:rsid w:val="00E12301"/>
    <w:rsid w:val="00E17A03"/>
    <w:rsid w:val="00E23CA7"/>
    <w:rsid w:val="00E4148F"/>
    <w:rsid w:val="00E4229B"/>
    <w:rsid w:val="00E51651"/>
    <w:rsid w:val="00E5191D"/>
    <w:rsid w:val="00E560E2"/>
    <w:rsid w:val="00E61A40"/>
    <w:rsid w:val="00E837F1"/>
    <w:rsid w:val="00E86DFF"/>
    <w:rsid w:val="00E93F30"/>
    <w:rsid w:val="00E95E50"/>
    <w:rsid w:val="00E97347"/>
    <w:rsid w:val="00EA27A9"/>
    <w:rsid w:val="00EA4024"/>
    <w:rsid w:val="00EB1493"/>
    <w:rsid w:val="00EB7A08"/>
    <w:rsid w:val="00EF029C"/>
    <w:rsid w:val="00EF3592"/>
    <w:rsid w:val="00EF493D"/>
    <w:rsid w:val="00F24DA2"/>
    <w:rsid w:val="00F25EE7"/>
    <w:rsid w:val="00F36273"/>
    <w:rsid w:val="00F46DA5"/>
    <w:rsid w:val="00F600A4"/>
    <w:rsid w:val="00F60A72"/>
    <w:rsid w:val="00F66B73"/>
    <w:rsid w:val="00F952FF"/>
    <w:rsid w:val="00FB3FF3"/>
    <w:rsid w:val="00FB7E59"/>
    <w:rsid w:val="00FE1B22"/>
    <w:rsid w:val="00FE3B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26"/>
    <w:pPr>
      <w:spacing w:before="60"/>
      <w:jc w:val="both"/>
    </w:pPr>
    <w:rPr>
      <w:rFonts w:ascii="Times New Roman" w:eastAsia="Times New Roman" w:hAnsi="Times New Roman"/>
      <w:sz w:val="24"/>
      <w:szCs w:val="20"/>
    </w:rPr>
  </w:style>
  <w:style w:type="paragraph" w:styleId="Heading1">
    <w:name w:val="heading 1"/>
    <w:aliases w:val="Nadpis 1_SR,Nadpis 1_GK"/>
    <w:basedOn w:val="Normal"/>
    <w:next w:val="Normal"/>
    <w:link w:val="Heading1Char"/>
    <w:uiPriority w:val="99"/>
    <w:qFormat/>
    <w:rsid w:val="00483426"/>
    <w:pPr>
      <w:keepNext/>
      <w:pBdr>
        <w:top w:val="single" w:sz="4" w:space="3" w:color="auto"/>
        <w:left w:val="single" w:sz="4" w:space="3" w:color="auto"/>
        <w:bottom w:val="single" w:sz="4" w:space="3" w:color="auto"/>
        <w:right w:val="single" w:sz="4" w:space="3" w:color="auto"/>
      </w:pBdr>
      <w:tabs>
        <w:tab w:val="left" w:pos="720"/>
      </w:tabs>
      <w:spacing w:before="0" w:after="240"/>
      <w:jc w:val="center"/>
      <w:outlineLvl w:val="0"/>
    </w:pPr>
    <w:rPr>
      <w:rFonts w:ascii="Arial" w:hAnsi="Arial" w:cs="Arial"/>
      <w:b/>
      <w:bCs/>
      <w:caps/>
      <w:kern w:val="32"/>
      <w:sz w:val="36"/>
      <w:szCs w:val="32"/>
    </w:rPr>
  </w:style>
  <w:style w:type="paragraph" w:styleId="Heading2">
    <w:name w:val="heading 2"/>
    <w:basedOn w:val="Normal"/>
    <w:next w:val="Normal"/>
    <w:link w:val="Heading2Char"/>
    <w:uiPriority w:val="99"/>
    <w:qFormat/>
    <w:rsid w:val="008735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735E8"/>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dpis 1_SR Char,Nadpis 1_GK Char"/>
    <w:basedOn w:val="DefaultParagraphFont"/>
    <w:link w:val="Heading1"/>
    <w:uiPriority w:val="99"/>
    <w:rsid w:val="00483426"/>
    <w:rPr>
      <w:rFonts w:ascii="Arial" w:hAnsi="Arial" w:cs="Arial"/>
      <w:b/>
      <w:bCs/>
      <w:caps/>
      <w:kern w:val="32"/>
      <w:sz w:val="32"/>
      <w:szCs w:val="32"/>
      <w:lang w:eastAsia="cs-CZ"/>
    </w:rPr>
  </w:style>
  <w:style w:type="character" w:customStyle="1" w:styleId="Heading2Char">
    <w:name w:val="Heading 2 Char"/>
    <w:basedOn w:val="DefaultParagraphFont"/>
    <w:link w:val="Heading2"/>
    <w:uiPriority w:val="99"/>
    <w:semiHidden/>
    <w:rsid w:val="008735E8"/>
    <w:rPr>
      <w:rFonts w:ascii="Cambria" w:hAnsi="Cambria" w:cs="Times New Roman"/>
      <w:b/>
      <w:bCs/>
      <w:color w:val="4F81BD"/>
      <w:sz w:val="26"/>
      <w:szCs w:val="26"/>
      <w:lang w:eastAsia="cs-CZ"/>
    </w:rPr>
  </w:style>
  <w:style w:type="character" w:customStyle="1" w:styleId="Heading3Char">
    <w:name w:val="Heading 3 Char"/>
    <w:basedOn w:val="DefaultParagraphFont"/>
    <w:link w:val="Heading3"/>
    <w:uiPriority w:val="99"/>
    <w:rsid w:val="008735E8"/>
    <w:rPr>
      <w:rFonts w:ascii="Cambria" w:hAnsi="Cambria" w:cs="Times New Roman"/>
      <w:b/>
      <w:bCs/>
      <w:color w:val="4F81BD"/>
      <w:sz w:val="20"/>
      <w:szCs w:val="20"/>
      <w:lang w:eastAsia="cs-CZ"/>
    </w:rPr>
  </w:style>
  <w:style w:type="paragraph" w:styleId="Header">
    <w:name w:val="header"/>
    <w:basedOn w:val="Normal"/>
    <w:link w:val="HeaderChar"/>
    <w:uiPriority w:val="99"/>
    <w:rsid w:val="00483426"/>
    <w:pPr>
      <w:tabs>
        <w:tab w:val="center" w:pos="4536"/>
        <w:tab w:val="right" w:pos="9072"/>
      </w:tabs>
    </w:pPr>
  </w:style>
  <w:style w:type="character" w:customStyle="1" w:styleId="HeaderChar">
    <w:name w:val="Header Char"/>
    <w:basedOn w:val="DefaultParagraphFont"/>
    <w:link w:val="Header"/>
    <w:uiPriority w:val="99"/>
    <w:rsid w:val="00483426"/>
    <w:rPr>
      <w:rFonts w:ascii="Times New Roman" w:hAnsi="Times New Roman" w:cs="Times New Roman"/>
      <w:sz w:val="20"/>
      <w:szCs w:val="20"/>
      <w:lang w:eastAsia="cs-CZ"/>
    </w:rPr>
  </w:style>
  <w:style w:type="paragraph" w:styleId="NoSpacing">
    <w:name w:val="No Spacing"/>
    <w:uiPriority w:val="99"/>
    <w:qFormat/>
    <w:rsid w:val="008735E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464</Words>
  <Characters>2740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ZMĚNY ZÁKLADNÍHO PŘEDPISU ČNS</dc:title>
  <dc:subject/>
  <dc:creator>Kamil</dc:creator>
  <cp:keywords/>
  <dc:description/>
  <cp:lastModifiedBy>MM</cp:lastModifiedBy>
  <cp:revision>4</cp:revision>
  <dcterms:created xsi:type="dcterms:W3CDTF">2018-02-25T14:00:00Z</dcterms:created>
  <dcterms:modified xsi:type="dcterms:W3CDTF">2018-02-25T17:53:00Z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2049308078</vt:i4>
  </property>
  <property fmtid="{D5CDD505-2E9C-101B-9397-08002B2CF9AE}" pid="3" name="_EmailSubject">
    <vt:lpwstr>Přijaté návrhy na Konferenci vč.doporučení VV </vt:lpwstr>
  </property>
  <property fmtid="{D5CDD505-2E9C-101B-9397-08002B2CF9AE}" pid="4" name="_AuthorEmail">
    <vt:lpwstr>klenik@scnb.cz</vt:lpwstr>
  </property>
  <property fmtid="{D5CDD505-2E9C-101B-9397-08002B2CF9AE}" pid="5" name="_AuthorEmailDisplayName">
    <vt:lpwstr>Kamil Kleník</vt:lpwstr>
  </property>
  <property fmtid="{D5CDD505-2E9C-101B-9397-08002B2CF9AE}" pid="6" name="_ReviewingToolsShownOnce">
    <vt:lpwstr/>
  </property>
</Properties>
</file>