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26" w:rsidRDefault="00483426" w:rsidP="00483426">
      <w:pPr>
        <w:pStyle w:val="Zhlav"/>
        <w:tabs>
          <w:tab w:val="clear" w:pos="4536"/>
          <w:tab w:val="clear" w:pos="9072"/>
        </w:tabs>
        <w:spacing w:before="120"/>
      </w:pPr>
    </w:p>
    <w:p w:rsidR="00483426" w:rsidRDefault="00483426" w:rsidP="00483426">
      <w:pPr>
        <w:pStyle w:val="Zhlav"/>
        <w:tabs>
          <w:tab w:val="clear" w:pos="4536"/>
          <w:tab w:val="clear" w:pos="9072"/>
        </w:tabs>
        <w:spacing w:before="120"/>
        <w:rPr>
          <w:bCs/>
        </w:rPr>
      </w:pPr>
    </w:p>
    <w:p w:rsidR="00483426" w:rsidRDefault="00483426" w:rsidP="00CB2C5A">
      <w:pPr>
        <w:pStyle w:val="Nadpis1"/>
        <w:spacing w:after="120"/>
        <w:jc w:val="left"/>
      </w:pPr>
      <w:r>
        <w:t>návrh změny základního předpisu čns</w:t>
      </w:r>
    </w:p>
    <w:p w:rsidR="00483426" w:rsidRDefault="00483426" w:rsidP="00CB2C5A">
      <w:pPr>
        <w:spacing w:before="0"/>
        <w:jc w:val="lef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9"/>
        <w:gridCol w:w="1124"/>
        <w:gridCol w:w="2279"/>
        <w:gridCol w:w="3720"/>
      </w:tblGrid>
      <w:tr w:rsidR="00483426" w:rsidTr="001F79FA">
        <w:trPr>
          <w:cantSplit/>
          <w:jc w:val="center"/>
        </w:trPr>
        <w:tc>
          <w:tcPr>
            <w:tcW w:w="5000" w:type="pct"/>
            <w:gridSpan w:val="4"/>
            <w:shd w:val="pct20" w:color="auto" w:fill="auto"/>
          </w:tcPr>
          <w:p w:rsidR="00483426" w:rsidRDefault="00483426" w:rsidP="00CB2C5A">
            <w:pPr>
              <w:jc w:val="left"/>
              <w:rPr>
                <w:b/>
                <w:bCs/>
              </w:rPr>
            </w:pPr>
            <w:r>
              <w:rPr>
                <w:b/>
                <w:bCs/>
              </w:rPr>
              <w:t>PŘEDKLADATEL</w:t>
            </w:r>
          </w:p>
        </w:tc>
      </w:tr>
      <w:tr w:rsidR="00483426" w:rsidTr="001F79FA">
        <w:trPr>
          <w:jc w:val="center"/>
        </w:trPr>
        <w:tc>
          <w:tcPr>
            <w:tcW w:w="1744" w:type="pct"/>
            <w:gridSpan w:val="2"/>
          </w:tcPr>
          <w:p w:rsidR="00483426" w:rsidRDefault="00483426" w:rsidP="00CB2C5A">
            <w:pPr>
              <w:jc w:val="left"/>
              <w:rPr>
                <w:b/>
                <w:bCs/>
                <w:caps/>
              </w:rPr>
            </w:pPr>
            <w:r>
              <w:rPr>
                <w:b/>
                <w:bCs/>
              </w:rPr>
              <w:t>Název oddílu/KNS/orgánu ČNS</w:t>
            </w:r>
          </w:p>
        </w:tc>
        <w:tc>
          <w:tcPr>
            <w:tcW w:w="3256" w:type="pct"/>
            <w:gridSpan w:val="2"/>
          </w:tcPr>
          <w:p w:rsidR="00483426" w:rsidRDefault="001A6233" w:rsidP="00CB2C5A">
            <w:pPr>
              <w:jc w:val="left"/>
            </w:pPr>
            <w:r>
              <w:t>Odborný poradce pro svazovou legislativu</w:t>
            </w:r>
            <w:r w:rsidR="00483426">
              <w:t xml:space="preserve"> ČNS</w:t>
            </w:r>
          </w:p>
        </w:tc>
      </w:tr>
      <w:tr w:rsidR="00483426" w:rsidTr="001F79FA">
        <w:trPr>
          <w:jc w:val="center"/>
        </w:trPr>
        <w:tc>
          <w:tcPr>
            <w:tcW w:w="1744" w:type="pct"/>
            <w:gridSpan w:val="2"/>
          </w:tcPr>
          <w:p w:rsidR="00483426" w:rsidRDefault="00483426" w:rsidP="00CB2C5A">
            <w:pPr>
              <w:jc w:val="left"/>
              <w:rPr>
                <w:b/>
                <w:bCs/>
                <w:caps/>
              </w:rPr>
            </w:pPr>
            <w:r>
              <w:rPr>
                <w:b/>
                <w:bCs/>
              </w:rPr>
              <w:t>Adresa</w:t>
            </w:r>
          </w:p>
        </w:tc>
        <w:tc>
          <w:tcPr>
            <w:tcW w:w="3256" w:type="pct"/>
            <w:gridSpan w:val="2"/>
          </w:tcPr>
          <w:p w:rsidR="00483426" w:rsidRDefault="00483426" w:rsidP="00CB2C5A">
            <w:pPr>
              <w:jc w:val="left"/>
            </w:pPr>
            <w:r>
              <w:t>-</w:t>
            </w:r>
          </w:p>
        </w:tc>
      </w:tr>
      <w:tr w:rsidR="00483426" w:rsidTr="001F79FA">
        <w:trPr>
          <w:jc w:val="center"/>
        </w:trPr>
        <w:tc>
          <w:tcPr>
            <w:tcW w:w="1744" w:type="pct"/>
            <w:gridSpan w:val="2"/>
          </w:tcPr>
          <w:p w:rsidR="00483426" w:rsidRDefault="00483426" w:rsidP="00CB2C5A">
            <w:pPr>
              <w:jc w:val="left"/>
              <w:rPr>
                <w:b/>
                <w:bCs/>
                <w:caps/>
              </w:rPr>
            </w:pPr>
            <w:r>
              <w:rPr>
                <w:b/>
                <w:bCs/>
              </w:rPr>
              <w:t>Okres, kraj</w:t>
            </w:r>
          </w:p>
        </w:tc>
        <w:tc>
          <w:tcPr>
            <w:tcW w:w="3256" w:type="pct"/>
            <w:gridSpan w:val="2"/>
          </w:tcPr>
          <w:p w:rsidR="00483426" w:rsidRDefault="00483426" w:rsidP="00CB2C5A">
            <w:pPr>
              <w:jc w:val="left"/>
            </w:pPr>
            <w:r>
              <w:t>-</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4"/>
            <w:tcBorders>
              <w:top w:val="single" w:sz="6" w:space="0" w:color="auto"/>
              <w:left w:val="single" w:sz="6" w:space="0" w:color="auto"/>
              <w:bottom w:val="single" w:sz="6" w:space="0" w:color="auto"/>
              <w:right w:val="single" w:sz="6" w:space="0" w:color="auto"/>
            </w:tcBorders>
          </w:tcPr>
          <w:p w:rsidR="00483426" w:rsidRDefault="00483426" w:rsidP="00CB2C5A">
            <w:pPr>
              <w:jc w:val="left"/>
              <w:rPr>
                <w:b/>
                <w:bCs/>
              </w:rPr>
            </w:pPr>
            <w:r>
              <w:rPr>
                <w:b/>
                <w:bCs/>
              </w:rPr>
              <w:t>Za předkladatele</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Borders>
              <w:top w:val="single" w:sz="6" w:space="0" w:color="auto"/>
              <w:left w:val="single" w:sz="6" w:space="0" w:color="auto"/>
              <w:bottom w:val="single" w:sz="6" w:space="0" w:color="auto"/>
              <w:right w:val="single" w:sz="6" w:space="0" w:color="auto"/>
            </w:tcBorders>
          </w:tcPr>
          <w:p w:rsidR="00483426" w:rsidRDefault="00483426" w:rsidP="00CB2C5A">
            <w:pPr>
              <w:pStyle w:val="Zhlav"/>
              <w:tabs>
                <w:tab w:val="clear" w:pos="4536"/>
                <w:tab w:val="clear" w:pos="9072"/>
              </w:tabs>
              <w:jc w:val="left"/>
            </w:pPr>
            <w:r>
              <w:t>Datum a místo</w:t>
            </w:r>
          </w:p>
        </w:tc>
        <w:tc>
          <w:tcPr>
            <w:tcW w:w="1847" w:type="pct"/>
            <w:gridSpan w:val="2"/>
            <w:tcBorders>
              <w:top w:val="single" w:sz="6" w:space="0" w:color="auto"/>
              <w:left w:val="single" w:sz="6" w:space="0" w:color="auto"/>
              <w:bottom w:val="single" w:sz="6" w:space="0" w:color="auto"/>
              <w:right w:val="single" w:sz="6" w:space="0" w:color="auto"/>
            </w:tcBorders>
          </w:tcPr>
          <w:p w:rsidR="00483426" w:rsidRDefault="00483426" w:rsidP="00CB2C5A">
            <w:pPr>
              <w:pStyle w:val="Zhlav"/>
              <w:tabs>
                <w:tab w:val="clear" w:pos="4536"/>
                <w:tab w:val="clear" w:pos="9072"/>
              </w:tabs>
              <w:jc w:val="left"/>
            </w:pPr>
            <w:r>
              <w:t>Jméno oprávněné osoby</w:t>
            </w:r>
          </w:p>
        </w:tc>
        <w:tc>
          <w:tcPr>
            <w:tcW w:w="2019" w:type="pct"/>
            <w:tcBorders>
              <w:top w:val="single" w:sz="6" w:space="0" w:color="auto"/>
              <w:left w:val="single" w:sz="6" w:space="0" w:color="auto"/>
              <w:bottom w:val="single" w:sz="6" w:space="0" w:color="auto"/>
              <w:right w:val="single" w:sz="6" w:space="0" w:color="auto"/>
            </w:tcBorders>
          </w:tcPr>
          <w:p w:rsidR="00483426" w:rsidRDefault="00483426" w:rsidP="00CB2C5A">
            <w:pPr>
              <w:pStyle w:val="Zhlav"/>
              <w:tabs>
                <w:tab w:val="clear" w:pos="4536"/>
                <w:tab w:val="clear" w:pos="9072"/>
              </w:tabs>
              <w:jc w:val="left"/>
            </w:pPr>
            <w:r>
              <w:t>Podpis oprávněné osoby a razítko oddílu*</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Borders>
              <w:top w:val="single" w:sz="6" w:space="0" w:color="auto"/>
              <w:left w:val="single" w:sz="6" w:space="0" w:color="auto"/>
              <w:bottom w:val="single" w:sz="6" w:space="0" w:color="auto"/>
              <w:right w:val="single" w:sz="6" w:space="0" w:color="auto"/>
            </w:tcBorders>
          </w:tcPr>
          <w:p w:rsidR="00483426" w:rsidRDefault="00CA4344" w:rsidP="00CB2C5A">
            <w:pPr>
              <w:pStyle w:val="Zhlav"/>
              <w:tabs>
                <w:tab w:val="clear" w:pos="4536"/>
                <w:tab w:val="clear" w:pos="9072"/>
              </w:tabs>
              <w:spacing w:before="600"/>
              <w:jc w:val="left"/>
            </w:pPr>
            <w:proofErr w:type="gramStart"/>
            <w:r>
              <w:t>8.2.2018</w:t>
            </w:r>
            <w:proofErr w:type="gramEnd"/>
          </w:p>
        </w:tc>
        <w:tc>
          <w:tcPr>
            <w:tcW w:w="1847" w:type="pct"/>
            <w:gridSpan w:val="2"/>
            <w:tcBorders>
              <w:top w:val="single" w:sz="6" w:space="0" w:color="auto"/>
              <w:left w:val="single" w:sz="6" w:space="0" w:color="auto"/>
              <w:bottom w:val="single" w:sz="6" w:space="0" w:color="auto"/>
              <w:right w:val="single" w:sz="6" w:space="0" w:color="auto"/>
            </w:tcBorders>
          </w:tcPr>
          <w:p w:rsidR="00483426" w:rsidRDefault="001A6233" w:rsidP="00CB2C5A">
            <w:pPr>
              <w:pStyle w:val="Zhlav"/>
              <w:tabs>
                <w:tab w:val="clear" w:pos="4536"/>
                <w:tab w:val="clear" w:pos="9072"/>
              </w:tabs>
              <w:spacing w:before="600"/>
              <w:jc w:val="left"/>
            </w:pPr>
            <w:r>
              <w:t xml:space="preserve"> Ladislav Kratochvíl</w:t>
            </w:r>
          </w:p>
        </w:tc>
        <w:tc>
          <w:tcPr>
            <w:tcW w:w="2019" w:type="pct"/>
            <w:tcBorders>
              <w:top w:val="single" w:sz="6" w:space="0" w:color="auto"/>
              <w:left w:val="single" w:sz="6" w:space="0" w:color="auto"/>
              <w:bottom w:val="single" w:sz="6" w:space="0" w:color="auto"/>
              <w:right w:val="single" w:sz="6" w:space="0" w:color="auto"/>
            </w:tcBorders>
          </w:tcPr>
          <w:p w:rsidR="00483426" w:rsidRDefault="00CA4344" w:rsidP="00CB2C5A">
            <w:pPr>
              <w:pStyle w:val="Zhlav"/>
              <w:tabs>
                <w:tab w:val="clear" w:pos="4536"/>
                <w:tab w:val="clear" w:pos="9072"/>
              </w:tabs>
              <w:spacing w:before="600"/>
              <w:jc w:val="left"/>
            </w:pPr>
            <w:r>
              <w:t>v.r.</w:t>
            </w:r>
          </w:p>
        </w:tc>
      </w:tr>
    </w:tbl>
    <w:p w:rsidR="00483426" w:rsidRDefault="00483426" w:rsidP="00CB2C5A">
      <w:pPr>
        <w:pStyle w:val="Zhlav"/>
        <w:tabs>
          <w:tab w:val="clear" w:pos="4536"/>
          <w:tab w:val="clear" w:pos="9072"/>
        </w:tabs>
        <w:spacing w:before="120"/>
        <w:jc w:val="left"/>
      </w:pPr>
      <w:r>
        <w:t>*) U KNS a orgánů ČNS není razítko vyžadováno.</w:t>
      </w:r>
    </w:p>
    <w:p w:rsidR="00483426" w:rsidRDefault="00483426" w:rsidP="00CB2C5A">
      <w:pPr>
        <w:pStyle w:val="Zhlav"/>
        <w:tabs>
          <w:tab w:val="clear" w:pos="4536"/>
          <w:tab w:val="clear" w:pos="9072"/>
        </w:tabs>
        <w:spacing w:before="120" w:after="120"/>
        <w:jc w:val="left"/>
      </w:pPr>
      <w:r>
        <w:t>V souladu se Stanovami ČNS oprávněný předkladatel předkládá níže uvedený návrh na změnu základního předpisu ČNS. Jeden návrh může obsahovat změnu více článků jednoho předpisu, ale pouze těch, do kterých navržená změna zasahuje. V opačném případě musí být každý navrženou změnou dotčený článek předkládán samostatně.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268"/>
        <w:gridCol w:w="1516"/>
        <w:gridCol w:w="1387"/>
        <w:gridCol w:w="1828"/>
      </w:tblGrid>
      <w:tr w:rsidR="00483426" w:rsidTr="001F79FA">
        <w:trPr>
          <w:cantSplit/>
          <w:jc w:val="center"/>
        </w:trPr>
        <w:tc>
          <w:tcPr>
            <w:tcW w:w="5000" w:type="pct"/>
            <w:gridSpan w:val="5"/>
            <w:shd w:val="pct20" w:color="auto" w:fill="auto"/>
          </w:tcPr>
          <w:p w:rsidR="00483426" w:rsidRDefault="00483426" w:rsidP="00CB2C5A">
            <w:pPr>
              <w:jc w:val="left"/>
              <w:rPr>
                <w:b/>
                <w:bCs/>
              </w:rPr>
            </w:pPr>
            <w:r>
              <w:rPr>
                <w:b/>
                <w:bCs/>
              </w:rPr>
              <w:t>NÁVRH ZMĚNY – 1. KOLO</w:t>
            </w:r>
          </w:p>
        </w:tc>
      </w:tr>
      <w:tr w:rsidR="00483426" w:rsidTr="001F79FA">
        <w:trPr>
          <w:jc w:val="center"/>
        </w:trPr>
        <w:tc>
          <w:tcPr>
            <w:tcW w:w="1744" w:type="pct"/>
          </w:tcPr>
          <w:p w:rsidR="00483426" w:rsidRDefault="00483426" w:rsidP="00CB2C5A">
            <w:pPr>
              <w:jc w:val="left"/>
              <w:rPr>
                <w:b/>
                <w:bCs/>
                <w:caps/>
              </w:rPr>
            </w:pPr>
            <w:r>
              <w:rPr>
                <w:b/>
                <w:bCs/>
              </w:rPr>
              <w:t>Název základního předpisu *</w:t>
            </w:r>
          </w:p>
        </w:tc>
        <w:tc>
          <w:tcPr>
            <w:tcW w:w="688" w:type="pct"/>
          </w:tcPr>
          <w:p w:rsidR="00483426" w:rsidRPr="00A604D3" w:rsidRDefault="00483426" w:rsidP="00CB2C5A">
            <w:pPr>
              <w:jc w:val="left"/>
              <w:rPr>
                <w:strike/>
              </w:rPr>
            </w:pPr>
            <w:r w:rsidRPr="00A604D3">
              <w:rPr>
                <w:strike/>
              </w:rPr>
              <w:t>Stanovy</w:t>
            </w:r>
          </w:p>
        </w:tc>
        <w:tc>
          <w:tcPr>
            <w:tcW w:w="823" w:type="pct"/>
          </w:tcPr>
          <w:p w:rsidR="00483426" w:rsidRPr="006C6662" w:rsidRDefault="006C6662" w:rsidP="00CB2C5A">
            <w:pPr>
              <w:jc w:val="left"/>
            </w:pPr>
            <w:r>
              <w:t>Soutěžní řád</w:t>
            </w:r>
          </w:p>
        </w:tc>
        <w:tc>
          <w:tcPr>
            <w:tcW w:w="753" w:type="pct"/>
          </w:tcPr>
          <w:p w:rsidR="00483426" w:rsidRPr="006C6662" w:rsidRDefault="00483426" w:rsidP="00CB2C5A">
            <w:pPr>
              <w:jc w:val="left"/>
              <w:rPr>
                <w:strike/>
              </w:rPr>
            </w:pPr>
            <w:r w:rsidRPr="006C6662">
              <w:rPr>
                <w:strike/>
              </w:rPr>
              <w:t>Pravidla</w:t>
            </w:r>
          </w:p>
        </w:tc>
        <w:tc>
          <w:tcPr>
            <w:tcW w:w="992" w:type="pct"/>
          </w:tcPr>
          <w:p w:rsidR="00483426" w:rsidRPr="00A604D3" w:rsidRDefault="00483426" w:rsidP="00CB2C5A">
            <w:pPr>
              <w:jc w:val="left"/>
              <w:rPr>
                <w:strike/>
              </w:rPr>
            </w:pPr>
            <w:r w:rsidRPr="00A604D3">
              <w:rPr>
                <w:strike/>
              </w:rPr>
              <w:t>Disciplinární řád</w:t>
            </w:r>
          </w:p>
        </w:tc>
      </w:tr>
      <w:tr w:rsidR="00483426" w:rsidTr="001F79FA">
        <w:trPr>
          <w:cantSplit/>
          <w:jc w:val="center"/>
        </w:trPr>
        <w:tc>
          <w:tcPr>
            <w:tcW w:w="5000" w:type="pct"/>
            <w:gridSpan w:val="5"/>
            <w:shd w:val="pct20" w:color="auto" w:fill="auto"/>
          </w:tcPr>
          <w:p w:rsidR="00483426" w:rsidRPr="006C67B5" w:rsidRDefault="00483426" w:rsidP="00CB2C5A">
            <w:pPr>
              <w:jc w:val="left"/>
              <w:rPr>
                <w:b/>
                <w:bCs/>
              </w:rPr>
            </w:pPr>
            <w:r>
              <w:rPr>
                <w:b/>
                <w:bCs/>
              </w:rPr>
              <w:t>Změna (vyplňuje předkladatel)</w:t>
            </w:r>
          </w:p>
        </w:tc>
      </w:tr>
      <w:tr w:rsidR="00483426" w:rsidTr="001F79FA">
        <w:trPr>
          <w:cantSplit/>
          <w:jc w:val="center"/>
        </w:trPr>
        <w:tc>
          <w:tcPr>
            <w:tcW w:w="5000" w:type="pct"/>
            <w:gridSpan w:val="5"/>
          </w:tcPr>
          <w:p w:rsidR="00483426" w:rsidRPr="006C67B5" w:rsidRDefault="00483426" w:rsidP="00CB2C5A">
            <w:pPr>
              <w:jc w:val="left"/>
              <w:rPr>
                <w:b/>
                <w:bCs/>
              </w:rPr>
            </w:pPr>
            <w:r>
              <w:rPr>
                <w:b/>
                <w:bCs/>
              </w:rPr>
              <w:t>s</w:t>
            </w:r>
            <w:r w:rsidRPr="006C67B5">
              <w:rPr>
                <w:b/>
                <w:bCs/>
              </w:rPr>
              <w:t>távající text dotčeného článku</w:t>
            </w:r>
            <w:r>
              <w:rPr>
                <w:b/>
                <w:bCs/>
              </w:rPr>
              <w:t xml:space="preserve"> (vč. číslování a odrážek):</w:t>
            </w:r>
          </w:p>
        </w:tc>
      </w:tr>
      <w:tr w:rsidR="00483426" w:rsidTr="001F79FA">
        <w:trPr>
          <w:cantSplit/>
          <w:jc w:val="center"/>
        </w:trPr>
        <w:tc>
          <w:tcPr>
            <w:tcW w:w="5000" w:type="pct"/>
            <w:gridSpan w:val="5"/>
          </w:tcPr>
          <w:p w:rsidR="00483426" w:rsidRDefault="006C6662" w:rsidP="00CB2C5A">
            <w:pPr>
              <w:jc w:val="left"/>
              <w:rPr>
                <w:color w:val="000000"/>
                <w:sz w:val="23"/>
                <w:szCs w:val="23"/>
              </w:rPr>
            </w:pPr>
            <w:r>
              <w:rPr>
                <w:color w:val="000000"/>
                <w:sz w:val="23"/>
                <w:szCs w:val="23"/>
              </w:rPr>
              <w:t xml:space="preserve">3.17.1 Počet sestupujících družstev, a to zda družstvo sestoupí přímo či se zda se zúčastní kvalifikace a s jakými družstvy, stanoví řídící orgán v Rozpisu soutěží. Sestupující družstvo sestupuje do nejbližší nižší soutěže. V případě, že ze soutěže některé družstvo vystoupilo nebo bylo vyloučeno, počet sestupujících družstev </w:t>
            </w:r>
            <w:r w:rsidR="00917DC7">
              <w:rPr>
                <w:color w:val="000000"/>
                <w:sz w:val="23"/>
                <w:szCs w:val="23"/>
              </w:rPr>
              <w:t>se adekvátně tomu sníží.</w:t>
            </w:r>
          </w:p>
          <w:p w:rsidR="00917DC7" w:rsidRPr="00C77DD3" w:rsidRDefault="00917DC7" w:rsidP="00CB2C5A">
            <w:pPr>
              <w:jc w:val="left"/>
              <w:rPr>
                <w:sz w:val="23"/>
                <w:szCs w:val="23"/>
              </w:rPr>
            </w:pPr>
            <w:r>
              <w:rPr>
                <w:color w:val="000000"/>
                <w:sz w:val="23"/>
                <w:szCs w:val="23"/>
              </w:rPr>
              <w:t>3.18.1 Počet postupujících družstev, a to zda družstvo postoupí přímo či zda se zúčastní kvalifikace a s jakými družstvy, stanoví řídící orgán v Rozpisu soutěží.</w:t>
            </w:r>
          </w:p>
        </w:tc>
      </w:tr>
    </w:tbl>
    <w:p w:rsidR="006E4C76" w:rsidRDefault="006E4C76">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5999"/>
      </w:tblGrid>
      <w:tr w:rsidR="00483426" w:rsidTr="001F79FA">
        <w:trPr>
          <w:cantSplit/>
          <w:jc w:val="center"/>
        </w:trPr>
        <w:tc>
          <w:tcPr>
            <w:tcW w:w="5000" w:type="pct"/>
            <w:gridSpan w:val="2"/>
          </w:tcPr>
          <w:p w:rsidR="00483426" w:rsidRPr="006C67B5" w:rsidRDefault="00483426" w:rsidP="00CB2C5A">
            <w:pPr>
              <w:jc w:val="left"/>
              <w:rPr>
                <w:b/>
                <w:bCs/>
              </w:rPr>
            </w:pPr>
            <w:r>
              <w:rPr>
                <w:b/>
                <w:bCs/>
              </w:rPr>
              <w:lastRenderedPageBreak/>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917DC7" w:rsidRDefault="00917DC7" w:rsidP="00CB2C5A">
            <w:pPr>
              <w:autoSpaceDE w:val="0"/>
              <w:autoSpaceDN w:val="0"/>
              <w:adjustRightInd w:val="0"/>
              <w:jc w:val="left"/>
              <w:rPr>
                <w:color w:val="000000"/>
                <w:sz w:val="23"/>
                <w:szCs w:val="23"/>
              </w:rPr>
            </w:pPr>
            <w:r>
              <w:rPr>
                <w:color w:val="000000"/>
                <w:sz w:val="23"/>
                <w:szCs w:val="23"/>
              </w:rPr>
              <w:t xml:space="preserve">3.17.1 Počet sestupujících družstev, a zda družstvo sestoupí přímo či se zúčastní kvalifikace, stanoví řídící orgán v Rozpisu soutěží. Sestupující družstvo sestupuje do nejbližší nižší soutěže. Pokud ze soutěže </w:t>
            </w:r>
            <w:r w:rsidR="00605EE4">
              <w:rPr>
                <w:color w:val="000000"/>
                <w:sz w:val="23"/>
                <w:szCs w:val="23"/>
              </w:rPr>
              <w:t xml:space="preserve">v jejím průběhu </w:t>
            </w:r>
            <w:r>
              <w:rPr>
                <w:color w:val="000000"/>
                <w:sz w:val="23"/>
                <w:szCs w:val="23"/>
              </w:rPr>
              <w:t>některé družstvo vystoupilo či bylo vyloučeno, počet sestupujících se odpovídajícím způsobem omezí.</w:t>
            </w:r>
          </w:p>
          <w:p w:rsidR="00605EE4" w:rsidRDefault="00917DC7" w:rsidP="00CB2C5A">
            <w:pPr>
              <w:autoSpaceDE w:val="0"/>
              <w:autoSpaceDN w:val="0"/>
              <w:adjustRightInd w:val="0"/>
              <w:jc w:val="left"/>
              <w:rPr>
                <w:color w:val="000000"/>
                <w:sz w:val="23"/>
                <w:szCs w:val="23"/>
              </w:rPr>
            </w:pPr>
            <w:r>
              <w:rPr>
                <w:color w:val="000000"/>
                <w:sz w:val="23"/>
                <w:szCs w:val="23"/>
              </w:rPr>
              <w:t>3.18.1 Počet postupujících</w:t>
            </w:r>
            <w:r w:rsidR="005035A9">
              <w:rPr>
                <w:color w:val="000000"/>
                <w:sz w:val="23"/>
                <w:szCs w:val="23"/>
              </w:rPr>
              <w:t xml:space="preserve"> družstev, a zda</w:t>
            </w:r>
            <w:r w:rsidR="00605EE4">
              <w:rPr>
                <w:color w:val="000000"/>
                <w:sz w:val="23"/>
                <w:szCs w:val="23"/>
              </w:rPr>
              <w:t xml:space="preserve"> družstvo postoupí přímo nebo se zúčastní kvalifikace, stanoví řídící orgán v Rozpisu soutěží.</w:t>
            </w:r>
          </w:p>
          <w:p w:rsidR="00605EE4" w:rsidRDefault="006347EE" w:rsidP="00CB2C5A">
            <w:pPr>
              <w:autoSpaceDE w:val="0"/>
              <w:autoSpaceDN w:val="0"/>
              <w:adjustRightInd w:val="0"/>
              <w:jc w:val="left"/>
              <w:rPr>
                <w:color w:val="000000"/>
                <w:sz w:val="23"/>
                <w:szCs w:val="23"/>
              </w:rPr>
            </w:pPr>
            <w:r>
              <w:rPr>
                <w:color w:val="000000"/>
                <w:sz w:val="23"/>
                <w:szCs w:val="23"/>
              </w:rPr>
              <w:t>3.19 Kvalifikace</w:t>
            </w:r>
            <w:r w:rsidR="005035A9">
              <w:rPr>
                <w:color w:val="000000"/>
                <w:sz w:val="23"/>
                <w:szCs w:val="23"/>
              </w:rPr>
              <w:t xml:space="preserve"> do soutěže v následujícím hracím roce.</w:t>
            </w:r>
          </w:p>
          <w:p w:rsidR="00605EE4" w:rsidRDefault="00605EE4" w:rsidP="00CB2C5A">
            <w:pPr>
              <w:autoSpaceDE w:val="0"/>
              <w:autoSpaceDN w:val="0"/>
              <w:adjustRightInd w:val="0"/>
              <w:jc w:val="left"/>
              <w:rPr>
                <w:color w:val="000000"/>
                <w:sz w:val="23"/>
                <w:szCs w:val="23"/>
              </w:rPr>
            </w:pPr>
            <w:r>
              <w:rPr>
                <w:color w:val="000000"/>
                <w:sz w:val="23"/>
                <w:szCs w:val="23"/>
              </w:rPr>
              <w:t>3.19.1 Kva</w:t>
            </w:r>
            <w:r w:rsidR="006347EE">
              <w:rPr>
                <w:color w:val="000000"/>
                <w:sz w:val="23"/>
                <w:szCs w:val="23"/>
              </w:rPr>
              <w:t>lifikace do</w:t>
            </w:r>
            <w:r>
              <w:rPr>
                <w:color w:val="000000"/>
                <w:sz w:val="23"/>
                <w:szCs w:val="23"/>
              </w:rPr>
              <w:t xml:space="preserve"> republikové </w:t>
            </w:r>
            <w:r w:rsidR="006347EE">
              <w:rPr>
                <w:color w:val="000000"/>
                <w:sz w:val="23"/>
                <w:szCs w:val="23"/>
              </w:rPr>
              <w:t>soutěže</w:t>
            </w:r>
            <w:r>
              <w:rPr>
                <w:color w:val="000000"/>
                <w:sz w:val="23"/>
                <w:szCs w:val="23"/>
              </w:rPr>
              <w:t xml:space="preserve"> v následujícím hracím roce je republikovou soutěží.</w:t>
            </w:r>
          </w:p>
          <w:p w:rsidR="005035A9" w:rsidRDefault="00605EE4" w:rsidP="00CB2C5A">
            <w:pPr>
              <w:autoSpaceDE w:val="0"/>
              <w:autoSpaceDN w:val="0"/>
              <w:adjustRightInd w:val="0"/>
              <w:jc w:val="left"/>
              <w:rPr>
                <w:color w:val="000000"/>
                <w:sz w:val="23"/>
                <w:szCs w:val="23"/>
              </w:rPr>
            </w:pPr>
            <w:r>
              <w:rPr>
                <w:color w:val="000000"/>
                <w:sz w:val="23"/>
                <w:szCs w:val="23"/>
              </w:rPr>
              <w:t>3.19.2</w:t>
            </w:r>
            <w:r w:rsidR="006347EE">
              <w:rPr>
                <w:color w:val="000000"/>
                <w:sz w:val="23"/>
                <w:szCs w:val="23"/>
              </w:rPr>
              <w:t xml:space="preserve"> Účastnit se kvalifikace do </w:t>
            </w:r>
            <w:r w:rsidR="00CB2C5A">
              <w:rPr>
                <w:color w:val="000000"/>
                <w:sz w:val="23"/>
                <w:szCs w:val="23"/>
              </w:rPr>
              <w:t xml:space="preserve">nejnižší </w:t>
            </w:r>
            <w:r w:rsidR="006347EE">
              <w:rPr>
                <w:color w:val="000000"/>
                <w:sz w:val="23"/>
                <w:szCs w:val="23"/>
              </w:rPr>
              <w:t>republikové soutěže</w:t>
            </w:r>
            <w:r w:rsidR="00CB2C5A">
              <w:rPr>
                <w:color w:val="000000"/>
                <w:sz w:val="23"/>
                <w:szCs w:val="23"/>
              </w:rPr>
              <w:t xml:space="preserve"> v následujícím hracím roce je oprávněno jedno či více sestupujících družstev z nejnižší republikové soutěže příslušného hracího roku a vítězné družstvo každé nejvyšší krajské soutěže příslušného hracího roku. Nevyužije-li vítěz nejvyšší krajské soutěže svéh</w:t>
            </w:r>
            <w:r w:rsidR="00FD54C4">
              <w:rPr>
                <w:color w:val="000000"/>
                <w:sz w:val="23"/>
                <w:szCs w:val="23"/>
              </w:rPr>
              <w:t xml:space="preserve">o oprávnění, přechází na druhé, případně třetí družstvo konečného pořadí, nevyužije-li </w:t>
            </w:r>
            <w:r w:rsidR="005035A9">
              <w:rPr>
                <w:color w:val="000000"/>
                <w:sz w:val="23"/>
                <w:szCs w:val="23"/>
              </w:rPr>
              <w:t xml:space="preserve">oprávnění </w:t>
            </w:r>
            <w:r w:rsidR="00FD54C4">
              <w:rPr>
                <w:color w:val="000000"/>
                <w:sz w:val="23"/>
                <w:szCs w:val="23"/>
              </w:rPr>
              <w:t>žádné z nich, počet družstev kvalifikace se omezí.</w:t>
            </w:r>
          </w:p>
          <w:p w:rsidR="009D7EC5" w:rsidRDefault="005035A9" w:rsidP="00CB2C5A">
            <w:pPr>
              <w:autoSpaceDE w:val="0"/>
              <w:autoSpaceDN w:val="0"/>
              <w:adjustRightInd w:val="0"/>
              <w:jc w:val="left"/>
              <w:rPr>
                <w:color w:val="000000"/>
                <w:sz w:val="23"/>
                <w:szCs w:val="23"/>
              </w:rPr>
            </w:pPr>
            <w:r>
              <w:rPr>
                <w:color w:val="000000"/>
                <w:sz w:val="23"/>
                <w:szCs w:val="23"/>
              </w:rPr>
              <w:t xml:space="preserve">3.19.3 Není-li v některém kraji krajská soutěž v příslušném hracím roce organizována a je přitom v kraji </w:t>
            </w:r>
            <w:r w:rsidR="009D7EC5">
              <w:rPr>
                <w:color w:val="000000"/>
                <w:sz w:val="23"/>
                <w:szCs w:val="23"/>
              </w:rPr>
              <w:t>organizována v některém okresu kraje nejvyšší okresní soutěž</w:t>
            </w:r>
            <w:r>
              <w:rPr>
                <w:color w:val="000000"/>
                <w:sz w:val="23"/>
                <w:szCs w:val="23"/>
              </w:rPr>
              <w:t xml:space="preserve">, přechází oprávnění účastnit se kvalifikace do nejnižší republikové soutěže na </w:t>
            </w:r>
            <w:r w:rsidR="009D7EC5">
              <w:rPr>
                <w:color w:val="000000"/>
                <w:sz w:val="23"/>
                <w:szCs w:val="23"/>
              </w:rPr>
              <w:t xml:space="preserve">vítězné </w:t>
            </w:r>
            <w:r>
              <w:rPr>
                <w:color w:val="000000"/>
                <w:sz w:val="23"/>
                <w:szCs w:val="23"/>
              </w:rPr>
              <w:t>družstvo</w:t>
            </w:r>
            <w:r w:rsidR="009D7EC5">
              <w:rPr>
                <w:color w:val="000000"/>
                <w:sz w:val="23"/>
                <w:szCs w:val="23"/>
              </w:rPr>
              <w:t xml:space="preserve"> této nejvyšší okresní soutěže, je-li v kraji organizováno více okresních soutěží ve více okresech, pak oprávnění účastnit se kvalifikace do nejnižší republikové soutěže přechází na nejlepšího ze vzájemných utkání vítězů nejvyšších okresních soutěží; tato vzájemná utkání jsou krajskou soutěží.</w:t>
            </w:r>
            <w:r w:rsidR="001E4848">
              <w:rPr>
                <w:color w:val="000000"/>
                <w:sz w:val="23"/>
                <w:szCs w:val="23"/>
              </w:rPr>
              <w:t xml:space="preserve"> Nevyužije-li tohoto oprávnění žádné družstvo, počet družstev kvalifikace se omezí.</w:t>
            </w:r>
          </w:p>
          <w:p w:rsidR="001E4848" w:rsidRDefault="009D7EC5" w:rsidP="00CB2C5A">
            <w:pPr>
              <w:autoSpaceDE w:val="0"/>
              <w:autoSpaceDN w:val="0"/>
              <w:adjustRightInd w:val="0"/>
              <w:jc w:val="left"/>
              <w:rPr>
                <w:color w:val="000000"/>
                <w:sz w:val="23"/>
                <w:szCs w:val="23"/>
              </w:rPr>
            </w:pPr>
            <w:r>
              <w:rPr>
                <w:color w:val="000000"/>
                <w:sz w:val="23"/>
                <w:szCs w:val="23"/>
              </w:rPr>
              <w:t xml:space="preserve">3.19.4 Není-li v některém kraji v příslušném hracím roce organizována krajská ani okresní soutěž, ale </w:t>
            </w:r>
            <w:r w:rsidR="001E4848">
              <w:rPr>
                <w:color w:val="000000"/>
                <w:sz w:val="23"/>
                <w:szCs w:val="23"/>
              </w:rPr>
              <w:t>jedno nebo více družstev</w:t>
            </w:r>
            <w:r>
              <w:rPr>
                <w:color w:val="000000"/>
                <w:sz w:val="23"/>
                <w:szCs w:val="23"/>
              </w:rPr>
              <w:t xml:space="preserve"> z tohoto kraje se účastní nejvyšší krajské soutěže jiného kraje, pak </w:t>
            </w:r>
            <w:r w:rsidR="001E4848">
              <w:rPr>
                <w:color w:val="000000"/>
                <w:sz w:val="23"/>
                <w:szCs w:val="23"/>
              </w:rPr>
              <w:t>oprávnění účastnit se kvalifikace do nejnižší republikové soutěže přechází i na nelepší z takových družstev za podmínky, že se v soutěži umístilo do třetího místa konečného pořadí. Oprávnění místně příslušných družstev z kraje, ve kterém je organizována krajská soutěž dle ustanovení 3.19.2 SŘ jsou zachována. Nevyužije-li tohoto oprávnění žádné družstvo, počet družstev kvalifikace se omezí.</w:t>
            </w:r>
          </w:p>
          <w:p w:rsidR="006347EE" w:rsidRDefault="00CA4344" w:rsidP="00CB2C5A">
            <w:pPr>
              <w:autoSpaceDE w:val="0"/>
              <w:autoSpaceDN w:val="0"/>
              <w:adjustRightInd w:val="0"/>
              <w:jc w:val="left"/>
              <w:rPr>
                <w:color w:val="000000"/>
                <w:sz w:val="23"/>
                <w:szCs w:val="23"/>
              </w:rPr>
            </w:pPr>
            <w:r>
              <w:rPr>
                <w:color w:val="000000"/>
                <w:sz w:val="23"/>
                <w:szCs w:val="23"/>
              </w:rPr>
              <w:t>3.19.5</w:t>
            </w:r>
            <w:r w:rsidR="001E4848">
              <w:rPr>
                <w:color w:val="000000"/>
                <w:sz w:val="23"/>
                <w:szCs w:val="23"/>
              </w:rPr>
              <w:t xml:space="preserve"> Kvalifikace do nejnižší krajské soutěže </w:t>
            </w:r>
            <w:r w:rsidR="00AC529D">
              <w:rPr>
                <w:color w:val="000000"/>
                <w:sz w:val="23"/>
                <w:szCs w:val="23"/>
              </w:rPr>
              <w:t xml:space="preserve">v následujícím hracím roce </w:t>
            </w:r>
            <w:r w:rsidR="001E4848">
              <w:rPr>
                <w:color w:val="000000"/>
                <w:sz w:val="23"/>
                <w:szCs w:val="23"/>
              </w:rPr>
              <w:t>je</w:t>
            </w:r>
            <w:r w:rsidR="00AC529D">
              <w:rPr>
                <w:color w:val="000000"/>
                <w:sz w:val="23"/>
                <w:szCs w:val="23"/>
              </w:rPr>
              <w:t xml:space="preserve"> krajskou soutěží.</w:t>
            </w:r>
            <w:r w:rsidR="001E4848">
              <w:rPr>
                <w:color w:val="000000"/>
                <w:sz w:val="23"/>
                <w:szCs w:val="23"/>
              </w:rPr>
              <w:t xml:space="preserve"> </w:t>
            </w:r>
            <w:r w:rsidR="00FD54C4">
              <w:rPr>
                <w:color w:val="000000"/>
                <w:sz w:val="23"/>
                <w:szCs w:val="23"/>
              </w:rPr>
              <w:t>Ustanovení o kvalifikaci do nejnižší republikové soutěže se použijí přiměřeně.</w:t>
            </w:r>
          </w:p>
          <w:p w:rsidR="006347EE" w:rsidRDefault="00CA4344" w:rsidP="00CB2C5A">
            <w:pPr>
              <w:autoSpaceDE w:val="0"/>
              <w:autoSpaceDN w:val="0"/>
              <w:adjustRightInd w:val="0"/>
              <w:jc w:val="left"/>
              <w:rPr>
                <w:color w:val="000000"/>
                <w:sz w:val="23"/>
                <w:szCs w:val="23"/>
              </w:rPr>
            </w:pPr>
            <w:r>
              <w:rPr>
                <w:color w:val="000000"/>
                <w:sz w:val="23"/>
                <w:szCs w:val="23"/>
              </w:rPr>
              <w:t>3.19.6</w:t>
            </w:r>
            <w:r w:rsidR="00AC529D">
              <w:rPr>
                <w:color w:val="000000"/>
                <w:sz w:val="23"/>
                <w:szCs w:val="23"/>
              </w:rPr>
              <w:t xml:space="preserve"> </w:t>
            </w:r>
            <w:r w:rsidR="00FD54C4">
              <w:rPr>
                <w:color w:val="000000"/>
                <w:sz w:val="23"/>
                <w:szCs w:val="23"/>
              </w:rPr>
              <w:t>Kvalifikace do</w:t>
            </w:r>
            <w:r w:rsidR="006347EE">
              <w:rPr>
                <w:color w:val="000000"/>
                <w:sz w:val="23"/>
                <w:szCs w:val="23"/>
              </w:rPr>
              <w:t> </w:t>
            </w:r>
            <w:r w:rsidR="00AC529D">
              <w:rPr>
                <w:color w:val="000000"/>
                <w:sz w:val="23"/>
                <w:szCs w:val="23"/>
              </w:rPr>
              <w:t xml:space="preserve">nejnižší </w:t>
            </w:r>
            <w:r w:rsidR="006347EE">
              <w:rPr>
                <w:color w:val="000000"/>
                <w:sz w:val="23"/>
                <w:szCs w:val="23"/>
              </w:rPr>
              <w:t>okresní sout</w:t>
            </w:r>
            <w:r w:rsidR="00FD54C4">
              <w:rPr>
                <w:color w:val="000000"/>
                <w:sz w:val="23"/>
                <w:szCs w:val="23"/>
              </w:rPr>
              <w:t>ěže</w:t>
            </w:r>
            <w:r w:rsidR="006347EE">
              <w:rPr>
                <w:color w:val="000000"/>
                <w:sz w:val="23"/>
                <w:szCs w:val="23"/>
              </w:rPr>
              <w:t xml:space="preserve"> v následujícím hracím roce je okresní soutěží.</w:t>
            </w:r>
            <w:r w:rsidR="00FD54C4">
              <w:rPr>
                <w:color w:val="000000"/>
                <w:sz w:val="23"/>
                <w:szCs w:val="23"/>
              </w:rPr>
              <w:t xml:space="preserve"> Ustanovení o kvalifikaci do nejnižší okresní soutěže se použijí přiměřeně.</w:t>
            </w:r>
          </w:p>
          <w:p w:rsidR="00CA4344" w:rsidRDefault="00CA4344" w:rsidP="00CB2C5A">
            <w:pPr>
              <w:autoSpaceDE w:val="0"/>
              <w:autoSpaceDN w:val="0"/>
              <w:adjustRightInd w:val="0"/>
              <w:jc w:val="left"/>
              <w:rPr>
                <w:color w:val="000000"/>
                <w:sz w:val="23"/>
                <w:szCs w:val="23"/>
              </w:rPr>
            </w:pPr>
          </w:p>
          <w:p w:rsidR="00CA4344" w:rsidRDefault="00CA4344" w:rsidP="00CB2C5A">
            <w:pPr>
              <w:autoSpaceDE w:val="0"/>
              <w:autoSpaceDN w:val="0"/>
              <w:adjustRightInd w:val="0"/>
              <w:jc w:val="left"/>
              <w:rPr>
                <w:color w:val="000000"/>
                <w:sz w:val="23"/>
                <w:szCs w:val="23"/>
              </w:rPr>
            </w:pPr>
            <w:r>
              <w:rPr>
                <w:color w:val="000000"/>
                <w:sz w:val="23"/>
                <w:szCs w:val="23"/>
              </w:rPr>
              <w:t>Následující články se nově označují následovně, obsah se nemění:</w:t>
            </w:r>
          </w:p>
          <w:p w:rsidR="00CA4344" w:rsidRDefault="00CA4344" w:rsidP="00CB2C5A">
            <w:pPr>
              <w:autoSpaceDE w:val="0"/>
              <w:autoSpaceDN w:val="0"/>
              <w:adjustRightInd w:val="0"/>
              <w:jc w:val="left"/>
              <w:rPr>
                <w:color w:val="000000"/>
                <w:sz w:val="23"/>
                <w:szCs w:val="23"/>
              </w:rPr>
            </w:pPr>
            <w:r>
              <w:rPr>
                <w:color w:val="000000"/>
                <w:sz w:val="23"/>
                <w:szCs w:val="23"/>
              </w:rPr>
              <w:t>3.20 Převedení soutěže</w:t>
            </w:r>
          </w:p>
          <w:p w:rsidR="00CA4344" w:rsidRDefault="00CA4344" w:rsidP="00CB2C5A">
            <w:pPr>
              <w:autoSpaceDE w:val="0"/>
              <w:autoSpaceDN w:val="0"/>
              <w:adjustRightInd w:val="0"/>
              <w:jc w:val="left"/>
              <w:rPr>
                <w:color w:val="000000"/>
                <w:sz w:val="23"/>
                <w:szCs w:val="23"/>
              </w:rPr>
            </w:pPr>
            <w:r>
              <w:rPr>
                <w:color w:val="000000"/>
                <w:sz w:val="23"/>
                <w:szCs w:val="23"/>
              </w:rPr>
              <w:t xml:space="preserve">3.21 </w:t>
            </w:r>
            <w:proofErr w:type="spellStart"/>
            <w:r>
              <w:rPr>
                <w:color w:val="000000"/>
                <w:sz w:val="23"/>
                <w:szCs w:val="23"/>
              </w:rPr>
              <w:t>Postaršení</w:t>
            </w:r>
            <w:proofErr w:type="spellEnd"/>
          </w:p>
          <w:p w:rsidR="00483426" w:rsidRPr="006C67B5" w:rsidRDefault="00483426" w:rsidP="00FD54C4">
            <w:pPr>
              <w:autoSpaceDE w:val="0"/>
              <w:autoSpaceDN w:val="0"/>
              <w:adjustRightInd w:val="0"/>
              <w:jc w:val="left"/>
            </w:pP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Pr>
                <w:b/>
                <w:bCs/>
              </w:rPr>
              <w:t>z</w:t>
            </w:r>
            <w:r w:rsidRPr="006C67B5">
              <w:rPr>
                <w:b/>
                <w:bCs/>
              </w:rPr>
              <w:t>důvodnění návrhu</w:t>
            </w:r>
            <w:r>
              <w:rPr>
                <w:b/>
                <w:bCs/>
              </w:rPr>
              <w:t xml:space="preserve">: </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AC529D" w:rsidP="00CB2C5A">
            <w:pPr>
              <w:jc w:val="left"/>
            </w:pPr>
            <w:r>
              <w:t>Návrh blíže určuje organizování a řízení kvalifikačních soutěží o postup do nejnižších soutěží všech úrovní, tedy republikové, krajské a okresní. A to v souvislosti se směrnicí k nižším organizačním článkům ČNS a reorganizací republikových soutěží od hracího roku 2019. Reaguje na stávající stav KNS a RNS.</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CB2C5A">
            <w:pPr>
              <w:jc w:val="left"/>
              <w:rPr>
                <w:b/>
                <w:bCs/>
              </w:rPr>
            </w:pPr>
            <w:r w:rsidRPr="005B7A43">
              <w:rPr>
                <w:b/>
                <w:bCs/>
              </w:rPr>
              <w:t>Doporučení 1</w:t>
            </w:r>
            <w:r>
              <w:rPr>
                <w:b/>
                <w:bCs/>
              </w:rPr>
              <w:t xml:space="preserve"> (vyplňuje orgán ČNS)</w:t>
            </w:r>
          </w:p>
        </w:tc>
      </w:tr>
      <w:tr w:rsidR="00483426" w:rsidTr="001F79FA">
        <w:trPr>
          <w:jc w:val="center"/>
        </w:trPr>
        <w:tc>
          <w:tcPr>
            <w:tcW w:w="1744" w:type="pct"/>
          </w:tcPr>
          <w:p w:rsidR="00483426" w:rsidRDefault="006E4C76" w:rsidP="00CB2C5A">
            <w:pPr>
              <w:jc w:val="left"/>
              <w:rPr>
                <w:b/>
                <w:bCs/>
                <w:caps/>
              </w:rPr>
            </w:pPr>
            <w:r>
              <w:rPr>
                <w:b/>
                <w:bCs/>
              </w:rPr>
              <w:t>Název orgánu</w:t>
            </w:r>
          </w:p>
        </w:tc>
        <w:tc>
          <w:tcPr>
            <w:tcW w:w="3256" w:type="pct"/>
          </w:tcPr>
          <w:p w:rsidR="00483426" w:rsidRDefault="006E4C76" w:rsidP="00CB2C5A">
            <w:pPr>
              <w:jc w:val="left"/>
            </w:pPr>
            <w:r>
              <w:t>VV ČNS</w:t>
            </w:r>
            <w:bookmarkStart w:id="0" w:name="_GoBack"/>
            <w:bookmarkEnd w:id="0"/>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6E4C76" w:rsidP="00CB2C5A">
            <w:pPr>
              <w:spacing w:before="120"/>
              <w:jc w:val="left"/>
            </w:pPr>
            <w:r>
              <w:t>VV ČNS doporučuje přijetí uvedeného návrhu ze stejného důvodu popsaného předkladatelem.</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CB2C5A">
            <w:pPr>
              <w:jc w:val="left"/>
              <w:rPr>
                <w:b/>
                <w:bCs/>
              </w:rPr>
            </w:pPr>
            <w:r w:rsidRPr="005B7A43">
              <w:rPr>
                <w:b/>
                <w:bCs/>
              </w:rPr>
              <w:lastRenderedPageBreak/>
              <w:t xml:space="preserve">Doporučení </w:t>
            </w:r>
            <w:r>
              <w:rPr>
                <w:b/>
                <w:bCs/>
              </w:rPr>
              <w:t>2 (vyplňuje orgán ČNS)</w:t>
            </w:r>
          </w:p>
        </w:tc>
      </w:tr>
      <w:tr w:rsidR="00483426" w:rsidTr="001F79FA">
        <w:trPr>
          <w:jc w:val="center"/>
        </w:trPr>
        <w:tc>
          <w:tcPr>
            <w:tcW w:w="1744" w:type="pct"/>
          </w:tcPr>
          <w:p w:rsidR="00483426" w:rsidRDefault="00483426" w:rsidP="00CB2C5A">
            <w:pPr>
              <w:jc w:val="left"/>
              <w:rPr>
                <w:b/>
                <w:bCs/>
                <w:caps/>
              </w:rPr>
            </w:pPr>
            <w:r>
              <w:rPr>
                <w:b/>
                <w:bCs/>
              </w:rPr>
              <w:t>Název orgánu ČNS</w:t>
            </w:r>
          </w:p>
        </w:tc>
        <w:tc>
          <w:tcPr>
            <w:tcW w:w="3256" w:type="pct"/>
          </w:tcPr>
          <w:p w:rsidR="00483426" w:rsidRDefault="00483426" w:rsidP="00CB2C5A">
            <w:pPr>
              <w:jc w:val="left"/>
            </w:pP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CB2C5A">
            <w:pPr>
              <w:jc w:val="left"/>
            </w:pPr>
          </w:p>
          <w:p w:rsidR="00483426" w:rsidRPr="006C67B5" w:rsidRDefault="00483426" w:rsidP="00CB2C5A">
            <w:pPr>
              <w:jc w:val="left"/>
            </w:pPr>
          </w:p>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CB2C5A">
            <w:pPr>
              <w:jc w:val="left"/>
              <w:rPr>
                <w:b/>
                <w:bCs/>
              </w:rPr>
            </w:pPr>
            <w:r w:rsidRPr="005B7A43">
              <w:rPr>
                <w:b/>
                <w:bCs/>
              </w:rPr>
              <w:t xml:space="preserve">Doporučení </w:t>
            </w:r>
            <w:r>
              <w:rPr>
                <w:b/>
                <w:bCs/>
              </w:rPr>
              <w:t>3 (vyplňuje orgán ČNS)</w:t>
            </w:r>
          </w:p>
        </w:tc>
      </w:tr>
      <w:tr w:rsidR="00483426" w:rsidTr="001F79FA">
        <w:trPr>
          <w:jc w:val="center"/>
        </w:trPr>
        <w:tc>
          <w:tcPr>
            <w:tcW w:w="1744" w:type="pct"/>
          </w:tcPr>
          <w:p w:rsidR="00483426" w:rsidRDefault="00483426" w:rsidP="00CB2C5A">
            <w:pPr>
              <w:jc w:val="left"/>
              <w:rPr>
                <w:b/>
                <w:bCs/>
                <w:caps/>
              </w:rPr>
            </w:pPr>
            <w:r>
              <w:rPr>
                <w:b/>
                <w:bCs/>
              </w:rPr>
              <w:t>Název orgánu ČNS</w:t>
            </w:r>
          </w:p>
        </w:tc>
        <w:tc>
          <w:tcPr>
            <w:tcW w:w="3256" w:type="pct"/>
          </w:tcPr>
          <w:p w:rsidR="00483426" w:rsidRDefault="00483426" w:rsidP="00CB2C5A">
            <w:pPr>
              <w:jc w:val="left"/>
            </w:pP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A73632" w:rsidRDefault="00483426" w:rsidP="00CB2C5A">
            <w:pPr>
              <w:jc w:val="left"/>
              <w:rPr>
                <w:b/>
                <w:bCs/>
              </w:rPr>
            </w:pPr>
          </w:p>
          <w:p w:rsidR="00483426" w:rsidRPr="00A73632" w:rsidRDefault="00483426" w:rsidP="00CB2C5A">
            <w:pPr>
              <w:jc w:val="left"/>
              <w:rPr>
                <w:b/>
                <w:bCs/>
              </w:rPr>
            </w:pPr>
          </w:p>
        </w:tc>
      </w:tr>
    </w:tbl>
    <w:p w:rsidR="00483426" w:rsidRDefault="00483426" w:rsidP="00CB2C5A">
      <w:pPr>
        <w:pStyle w:val="Zhlav"/>
        <w:tabs>
          <w:tab w:val="clear" w:pos="4536"/>
          <w:tab w:val="clear" w:pos="9072"/>
        </w:tabs>
        <w:spacing w:before="120" w:after="120"/>
        <w:jc w:val="left"/>
      </w:pPr>
      <w:r>
        <w:t>Předkladatel ve 2. kole předkládá (na základě obdržených doporučení nebo z jiných důvodů) upravený návrh, kterým se ruší jím předložený návrh z 1. kola. V případě, že upravený návrh předkladatel nepředkládá, zůstává v platnosti návrh z 1. kola.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5999"/>
      </w:tblGrid>
      <w:tr w:rsidR="00483426" w:rsidTr="001F79FA">
        <w:trPr>
          <w:cantSplit/>
          <w:jc w:val="center"/>
        </w:trPr>
        <w:tc>
          <w:tcPr>
            <w:tcW w:w="5000" w:type="pct"/>
            <w:gridSpan w:val="2"/>
            <w:shd w:val="pct20" w:color="auto" w:fill="auto"/>
          </w:tcPr>
          <w:p w:rsidR="00483426" w:rsidRDefault="00483426" w:rsidP="00CB2C5A">
            <w:pPr>
              <w:jc w:val="left"/>
              <w:rPr>
                <w:b/>
                <w:bCs/>
              </w:rPr>
            </w:pPr>
            <w:r>
              <w:rPr>
                <w:b/>
                <w:bCs/>
              </w:rPr>
              <w:t>UPRAVENÝ NÁVRH ZMĚNY – 2. KOLO</w:t>
            </w:r>
          </w:p>
        </w:tc>
      </w:tr>
      <w:tr w:rsidR="00483426" w:rsidRPr="006C67B5" w:rsidTr="001F79FA">
        <w:trPr>
          <w:cantSplit/>
          <w:jc w:val="center"/>
        </w:trPr>
        <w:tc>
          <w:tcPr>
            <w:tcW w:w="5000" w:type="pct"/>
            <w:gridSpan w:val="2"/>
            <w:shd w:val="pct20" w:color="auto" w:fill="auto"/>
          </w:tcPr>
          <w:p w:rsidR="00483426" w:rsidRPr="006C67B5" w:rsidRDefault="00483426" w:rsidP="00CB2C5A">
            <w:pPr>
              <w:jc w:val="left"/>
              <w:rPr>
                <w:b/>
                <w:bCs/>
              </w:rPr>
            </w:pPr>
            <w:r>
              <w:rPr>
                <w:b/>
                <w:bCs/>
              </w:rPr>
              <w:t>Změna (vyplňuje předkladatel)</w:t>
            </w:r>
          </w:p>
        </w:tc>
      </w:tr>
      <w:tr w:rsidR="00483426" w:rsidRPr="006C67B5" w:rsidTr="001F79FA">
        <w:trPr>
          <w:cantSplit/>
          <w:jc w:val="center"/>
        </w:trPr>
        <w:tc>
          <w:tcPr>
            <w:tcW w:w="5000" w:type="pct"/>
            <w:gridSpan w:val="2"/>
          </w:tcPr>
          <w:p w:rsidR="00483426" w:rsidRPr="006C67B5" w:rsidRDefault="00483426" w:rsidP="00CB2C5A">
            <w:pPr>
              <w:jc w:val="left"/>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CB2C5A">
            <w:pPr>
              <w:jc w:val="left"/>
            </w:pPr>
          </w:p>
          <w:p w:rsidR="00483426" w:rsidRPr="006C67B5" w:rsidRDefault="00483426" w:rsidP="00CB2C5A">
            <w:pPr>
              <w:jc w:val="left"/>
            </w:pPr>
          </w:p>
        </w:tc>
      </w:tr>
      <w:tr w:rsidR="00483426" w:rsidRPr="006C67B5" w:rsidTr="00CB2C5A">
        <w:trPr>
          <w:cantSplit/>
          <w:trHeight w:val="70"/>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Pr>
                <w:b/>
                <w:bCs/>
              </w:rPr>
              <w:t>z</w:t>
            </w:r>
            <w:r w:rsidRPr="006C67B5">
              <w:rPr>
                <w:b/>
                <w:bCs/>
              </w:rPr>
              <w:t>důvodnění návrhu</w:t>
            </w:r>
            <w:r>
              <w:rPr>
                <w:b/>
                <w:bCs/>
              </w:rPr>
              <w:t xml:space="preserve">: </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Doporučení 1</w:t>
            </w:r>
            <w:r>
              <w:rPr>
                <w:b/>
                <w:bCs/>
              </w:rPr>
              <w:t xml:space="preserve">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2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3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A73632"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A73632" w:rsidRDefault="00483426" w:rsidP="001F79FA">
            <w:pPr>
              <w:rPr>
                <w:b/>
                <w:bCs/>
              </w:rPr>
            </w:pPr>
          </w:p>
          <w:p w:rsidR="00483426" w:rsidRPr="00A73632" w:rsidRDefault="00483426" w:rsidP="001F79FA">
            <w:pPr>
              <w:rPr>
                <w:b/>
                <w:bCs/>
              </w:rPr>
            </w:pPr>
          </w:p>
        </w:tc>
      </w:tr>
    </w:tbl>
    <w:p w:rsidR="00483426" w:rsidRDefault="00483426" w:rsidP="00483426">
      <w:pPr>
        <w:pStyle w:val="Zhlav"/>
        <w:tabs>
          <w:tab w:val="clear" w:pos="4536"/>
          <w:tab w:val="clear" w:pos="9072"/>
        </w:tabs>
        <w:spacing w:before="120"/>
      </w:pPr>
      <w:r>
        <w:t xml:space="preserve">*) </w:t>
      </w:r>
      <w:r w:rsidRPr="00492E29">
        <w:t>nehodící se škrtněte</w:t>
      </w:r>
      <w:r>
        <w:t>.</w:t>
      </w:r>
    </w:p>
    <w:p w:rsidR="008A5DA4" w:rsidRDefault="008A5DA4"/>
    <w:sectPr w:rsidR="008A5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D4"/>
    <w:rsid w:val="00007594"/>
    <w:rsid w:val="00033387"/>
    <w:rsid w:val="00034CFB"/>
    <w:rsid w:val="000714B3"/>
    <w:rsid w:val="00090465"/>
    <w:rsid w:val="00093791"/>
    <w:rsid w:val="00095828"/>
    <w:rsid w:val="000A206A"/>
    <w:rsid w:val="000B4998"/>
    <w:rsid w:val="000D49AF"/>
    <w:rsid w:val="000F05E8"/>
    <w:rsid w:val="0010394F"/>
    <w:rsid w:val="00116F2C"/>
    <w:rsid w:val="00132207"/>
    <w:rsid w:val="0013324A"/>
    <w:rsid w:val="00142DD8"/>
    <w:rsid w:val="0015635C"/>
    <w:rsid w:val="0015772E"/>
    <w:rsid w:val="001619F7"/>
    <w:rsid w:val="00167D4E"/>
    <w:rsid w:val="00185271"/>
    <w:rsid w:val="0019618F"/>
    <w:rsid w:val="00196ECC"/>
    <w:rsid w:val="001A6233"/>
    <w:rsid w:val="001B3BB3"/>
    <w:rsid w:val="001B7698"/>
    <w:rsid w:val="001C21DC"/>
    <w:rsid w:val="001D32F7"/>
    <w:rsid w:val="001D5D48"/>
    <w:rsid w:val="001E3DC7"/>
    <w:rsid w:val="001E4848"/>
    <w:rsid w:val="001E5472"/>
    <w:rsid w:val="001E65E2"/>
    <w:rsid w:val="00212A58"/>
    <w:rsid w:val="002159BE"/>
    <w:rsid w:val="002169DF"/>
    <w:rsid w:val="002379AE"/>
    <w:rsid w:val="00251CEA"/>
    <w:rsid w:val="0025532A"/>
    <w:rsid w:val="00261B94"/>
    <w:rsid w:val="002636B8"/>
    <w:rsid w:val="00266F69"/>
    <w:rsid w:val="00276FB8"/>
    <w:rsid w:val="00280315"/>
    <w:rsid w:val="00291889"/>
    <w:rsid w:val="00295D66"/>
    <w:rsid w:val="002A3BA1"/>
    <w:rsid w:val="002A50C0"/>
    <w:rsid w:val="002B1D83"/>
    <w:rsid w:val="002C16CC"/>
    <w:rsid w:val="002D2036"/>
    <w:rsid w:val="002D5B68"/>
    <w:rsid w:val="002E3E5B"/>
    <w:rsid w:val="002E771A"/>
    <w:rsid w:val="002F08FC"/>
    <w:rsid w:val="002F2717"/>
    <w:rsid w:val="0030514B"/>
    <w:rsid w:val="00313668"/>
    <w:rsid w:val="00334577"/>
    <w:rsid w:val="00335D07"/>
    <w:rsid w:val="00340795"/>
    <w:rsid w:val="00341C3A"/>
    <w:rsid w:val="00347270"/>
    <w:rsid w:val="00373A0F"/>
    <w:rsid w:val="003819FA"/>
    <w:rsid w:val="00381F23"/>
    <w:rsid w:val="00384DDD"/>
    <w:rsid w:val="00390714"/>
    <w:rsid w:val="003A0929"/>
    <w:rsid w:val="003A21F0"/>
    <w:rsid w:val="003B02E7"/>
    <w:rsid w:val="003B3FDA"/>
    <w:rsid w:val="003B580D"/>
    <w:rsid w:val="003B61A0"/>
    <w:rsid w:val="003B655A"/>
    <w:rsid w:val="003C13B9"/>
    <w:rsid w:val="003C2BE1"/>
    <w:rsid w:val="003D7E07"/>
    <w:rsid w:val="003E3BCC"/>
    <w:rsid w:val="003F7C9F"/>
    <w:rsid w:val="0041744F"/>
    <w:rsid w:val="0041746E"/>
    <w:rsid w:val="00421D44"/>
    <w:rsid w:val="00437EA5"/>
    <w:rsid w:val="00447D06"/>
    <w:rsid w:val="00453495"/>
    <w:rsid w:val="00453870"/>
    <w:rsid w:val="004642FA"/>
    <w:rsid w:val="004808D7"/>
    <w:rsid w:val="00483426"/>
    <w:rsid w:val="004940A0"/>
    <w:rsid w:val="004A516D"/>
    <w:rsid w:val="004B6758"/>
    <w:rsid w:val="004F1403"/>
    <w:rsid w:val="004F59C8"/>
    <w:rsid w:val="00500B4D"/>
    <w:rsid w:val="005035A9"/>
    <w:rsid w:val="005051A7"/>
    <w:rsid w:val="00517028"/>
    <w:rsid w:val="005221C5"/>
    <w:rsid w:val="0052568F"/>
    <w:rsid w:val="00532A65"/>
    <w:rsid w:val="00533637"/>
    <w:rsid w:val="005356E7"/>
    <w:rsid w:val="00537AD4"/>
    <w:rsid w:val="00545515"/>
    <w:rsid w:val="00545995"/>
    <w:rsid w:val="00546E18"/>
    <w:rsid w:val="005519A4"/>
    <w:rsid w:val="00560CC5"/>
    <w:rsid w:val="00572A72"/>
    <w:rsid w:val="00576C94"/>
    <w:rsid w:val="00577BBA"/>
    <w:rsid w:val="00577EAA"/>
    <w:rsid w:val="005828B8"/>
    <w:rsid w:val="005829DD"/>
    <w:rsid w:val="00584908"/>
    <w:rsid w:val="00586636"/>
    <w:rsid w:val="00586E4B"/>
    <w:rsid w:val="00586E84"/>
    <w:rsid w:val="005A166F"/>
    <w:rsid w:val="005A3BC8"/>
    <w:rsid w:val="005A7B66"/>
    <w:rsid w:val="005B079B"/>
    <w:rsid w:val="005B329E"/>
    <w:rsid w:val="005D6007"/>
    <w:rsid w:val="005F40A2"/>
    <w:rsid w:val="005F65EE"/>
    <w:rsid w:val="0060130C"/>
    <w:rsid w:val="00605EE4"/>
    <w:rsid w:val="0062114C"/>
    <w:rsid w:val="00627546"/>
    <w:rsid w:val="0063105F"/>
    <w:rsid w:val="006347EE"/>
    <w:rsid w:val="00635120"/>
    <w:rsid w:val="0065419A"/>
    <w:rsid w:val="006552FE"/>
    <w:rsid w:val="006605C3"/>
    <w:rsid w:val="006658A1"/>
    <w:rsid w:val="00674173"/>
    <w:rsid w:val="00677AA2"/>
    <w:rsid w:val="006A1A7F"/>
    <w:rsid w:val="006B0425"/>
    <w:rsid w:val="006B64CF"/>
    <w:rsid w:val="006C328C"/>
    <w:rsid w:val="006C3C14"/>
    <w:rsid w:val="006C5023"/>
    <w:rsid w:val="006C6662"/>
    <w:rsid w:val="006C6B04"/>
    <w:rsid w:val="006E1902"/>
    <w:rsid w:val="006E4C76"/>
    <w:rsid w:val="00700C03"/>
    <w:rsid w:val="00701E95"/>
    <w:rsid w:val="00716D0B"/>
    <w:rsid w:val="00724933"/>
    <w:rsid w:val="00725A1B"/>
    <w:rsid w:val="00734408"/>
    <w:rsid w:val="00735AB7"/>
    <w:rsid w:val="0074472B"/>
    <w:rsid w:val="007519FB"/>
    <w:rsid w:val="00764821"/>
    <w:rsid w:val="00773D7F"/>
    <w:rsid w:val="0079215B"/>
    <w:rsid w:val="007954FA"/>
    <w:rsid w:val="007B389A"/>
    <w:rsid w:val="007C1E9E"/>
    <w:rsid w:val="007D574B"/>
    <w:rsid w:val="007E1770"/>
    <w:rsid w:val="00812D79"/>
    <w:rsid w:val="008248B5"/>
    <w:rsid w:val="00834B65"/>
    <w:rsid w:val="00845985"/>
    <w:rsid w:val="00846203"/>
    <w:rsid w:val="00854101"/>
    <w:rsid w:val="008576B7"/>
    <w:rsid w:val="00860129"/>
    <w:rsid w:val="008856CD"/>
    <w:rsid w:val="008A10A2"/>
    <w:rsid w:val="008A4258"/>
    <w:rsid w:val="008A5DA4"/>
    <w:rsid w:val="008B0172"/>
    <w:rsid w:val="008B5C2C"/>
    <w:rsid w:val="008B5D55"/>
    <w:rsid w:val="008C42FD"/>
    <w:rsid w:val="008C7011"/>
    <w:rsid w:val="008D391A"/>
    <w:rsid w:val="008E32F2"/>
    <w:rsid w:val="008E533E"/>
    <w:rsid w:val="00904FAB"/>
    <w:rsid w:val="00917DC7"/>
    <w:rsid w:val="00921F82"/>
    <w:rsid w:val="00935503"/>
    <w:rsid w:val="0096052E"/>
    <w:rsid w:val="00964B9E"/>
    <w:rsid w:val="009715FC"/>
    <w:rsid w:val="009755EC"/>
    <w:rsid w:val="00976BED"/>
    <w:rsid w:val="00976D98"/>
    <w:rsid w:val="009807DD"/>
    <w:rsid w:val="0099131C"/>
    <w:rsid w:val="00995A0F"/>
    <w:rsid w:val="009B2575"/>
    <w:rsid w:val="009C2294"/>
    <w:rsid w:val="009D06C1"/>
    <w:rsid w:val="009D3947"/>
    <w:rsid w:val="009D7EC5"/>
    <w:rsid w:val="009E0C74"/>
    <w:rsid w:val="00A11AD7"/>
    <w:rsid w:val="00A12314"/>
    <w:rsid w:val="00A255F7"/>
    <w:rsid w:val="00A35836"/>
    <w:rsid w:val="00A37902"/>
    <w:rsid w:val="00A37A92"/>
    <w:rsid w:val="00A63B38"/>
    <w:rsid w:val="00A70AB5"/>
    <w:rsid w:val="00AB072C"/>
    <w:rsid w:val="00AB4F01"/>
    <w:rsid w:val="00AC396D"/>
    <w:rsid w:val="00AC529D"/>
    <w:rsid w:val="00AF26EC"/>
    <w:rsid w:val="00B12949"/>
    <w:rsid w:val="00B17C4D"/>
    <w:rsid w:val="00B17FFC"/>
    <w:rsid w:val="00B21EC9"/>
    <w:rsid w:val="00B22B2B"/>
    <w:rsid w:val="00B24489"/>
    <w:rsid w:val="00B347D8"/>
    <w:rsid w:val="00B42260"/>
    <w:rsid w:val="00B45BCE"/>
    <w:rsid w:val="00B53652"/>
    <w:rsid w:val="00B542D4"/>
    <w:rsid w:val="00B60FAA"/>
    <w:rsid w:val="00B96949"/>
    <w:rsid w:val="00BA13E5"/>
    <w:rsid w:val="00BB5833"/>
    <w:rsid w:val="00BC66CB"/>
    <w:rsid w:val="00BE48F1"/>
    <w:rsid w:val="00C21406"/>
    <w:rsid w:val="00C21B9F"/>
    <w:rsid w:val="00C22410"/>
    <w:rsid w:val="00C23104"/>
    <w:rsid w:val="00C243E4"/>
    <w:rsid w:val="00C30FB7"/>
    <w:rsid w:val="00C55707"/>
    <w:rsid w:val="00C578C2"/>
    <w:rsid w:val="00C6000F"/>
    <w:rsid w:val="00C628E7"/>
    <w:rsid w:val="00C63424"/>
    <w:rsid w:val="00C6686D"/>
    <w:rsid w:val="00C7733C"/>
    <w:rsid w:val="00C82F4F"/>
    <w:rsid w:val="00C839A3"/>
    <w:rsid w:val="00C86D1D"/>
    <w:rsid w:val="00C90011"/>
    <w:rsid w:val="00C942C8"/>
    <w:rsid w:val="00C957BA"/>
    <w:rsid w:val="00CA01E4"/>
    <w:rsid w:val="00CA1CBD"/>
    <w:rsid w:val="00CA4344"/>
    <w:rsid w:val="00CA6753"/>
    <w:rsid w:val="00CB2352"/>
    <w:rsid w:val="00CB2C5A"/>
    <w:rsid w:val="00CB6942"/>
    <w:rsid w:val="00CD015B"/>
    <w:rsid w:val="00CD0D4E"/>
    <w:rsid w:val="00CE4ACC"/>
    <w:rsid w:val="00D01EB1"/>
    <w:rsid w:val="00D0306B"/>
    <w:rsid w:val="00D06256"/>
    <w:rsid w:val="00D0761D"/>
    <w:rsid w:val="00D27F2B"/>
    <w:rsid w:val="00D41053"/>
    <w:rsid w:val="00D43DC4"/>
    <w:rsid w:val="00D675D1"/>
    <w:rsid w:val="00D719AB"/>
    <w:rsid w:val="00D823FD"/>
    <w:rsid w:val="00D87D68"/>
    <w:rsid w:val="00DA7A95"/>
    <w:rsid w:val="00DD5171"/>
    <w:rsid w:val="00DE0556"/>
    <w:rsid w:val="00DE1978"/>
    <w:rsid w:val="00DE3CB8"/>
    <w:rsid w:val="00DE5656"/>
    <w:rsid w:val="00E10C7B"/>
    <w:rsid w:val="00E12301"/>
    <w:rsid w:val="00E17A03"/>
    <w:rsid w:val="00E23CA7"/>
    <w:rsid w:val="00E4148F"/>
    <w:rsid w:val="00E4229B"/>
    <w:rsid w:val="00E51651"/>
    <w:rsid w:val="00E5191D"/>
    <w:rsid w:val="00E560E2"/>
    <w:rsid w:val="00E61A40"/>
    <w:rsid w:val="00E837F1"/>
    <w:rsid w:val="00E86DFF"/>
    <w:rsid w:val="00E93F30"/>
    <w:rsid w:val="00E95E50"/>
    <w:rsid w:val="00E97347"/>
    <w:rsid w:val="00EA4024"/>
    <w:rsid w:val="00EB1493"/>
    <w:rsid w:val="00EB7A08"/>
    <w:rsid w:val="00EF029C"/>
    <w:rsid w:val="00EF3592"/>
    <w:rsid w:val="00EF493D"/>
    <w:rsid w:val="00F24DA2"/>
    <w:rsid w:val="00F25EE7"/>
    <w:rsid w:val="00F36273"/>
    <w:rsid w:val="00F46DA5"/>
    <w:rsid w:val="00F600A4"/>
    <w:rsid w:val="00F60A72"/>
    <w:rsid w:val="00F66B73"/>
    <w:rsid w:val="00F952FF"/>
    <w:rsid w:val="00FB3FF3"/>
    <w:rsid w:val="00FB7E59"/>
    <w:rsid w:val="00FD54C4"/>
    <w:rsid w:val="00FE1B22"/>
    <w:rsid w:val="00FE3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26"/>
    <w:pPr>
      <w:spacing w:before="60"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_SR,Nadpis 1_GK"/>
    <w:basedOn w:val="Normln"/>
    <w:next w:val="Normln"/>
    <w:link w:val="Nadpis1Char"/>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R Char,Nadpis 1_GK Char"/>
    <w:basedOn w:val="Standardnpsmoodstavce"/>
    <w:link w:val="Nadpis1"/>
    <w:rsid w:val="00483426"/>
    <w:rPr>
      <w:rFonts w:ascii="Arial" w:eastAsia="Times New Roman" w:hAnsi="Arial" w:cs="Arial"/>
      <w:b/>
      <w:bCs/>
      <w:caps/>
      <w:kern w:val="32"/>
      <w:sz w:val="36"/>
      <w:szCs w:val="32"/>
      <w:lang w:eastAsia="cs-CZ"/>
    </w:rPr>
  </w:style>
  <w:style w:type="paragraph" w:styleId="Zhlav">
    <w:name w:val="header"/>
    <w:basedOn w:val="Normln"/>
    <w:link w:val="ZhlavChar"/>
    <w:rsid w:val="00483426"/>
    <w:pPr>
      <w:tabs>
        <w:tab w:val="center" w:pos="4536"/>
        <w:tab w:val="right" w:pos="9072"/>
      </w:tabs>
    </w:pPr>
  </w:style>
  <w:style w:type="character" w:customStyle="1" w:styleId="ZhlavChar">
    <w:name w:val="Záhlaví Char"/>
    <w:basedOn w:val="Standardnpsmoodstavce"/>
    <w:link w:val="Zhlav"/>
    <w:rsid w:val="00483426"/>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26"/>
    <w:pPr>
      <w:spacing w:before="60"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_SR,Nadpis 1_GK"/>
    <w:basedOn w:val="Normln"/>
    <w:next w:val="Normln"/>
    <w:link w:val="Nadpis1Char"/>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R Char,Nadpis 1_GK Char"/>
    <w:basedOn w:val="Standardnpsmoodstavce"/>
    <w:link w:val="Nadpis1"/>
    <w:rsid w:val="00483426"/>
    <w:rPr>
      <w:rFonts w:ascii="Arial" w:eastAsia="Times New Roman" w:hAnsi="Arial" w:cs="Arial"/>
      <w:b/>
      <w:bCs/>
      <w:caps/>
      <w:kern w:val="32"/>
      <w:sz w:val="36"/>
      <w:szCs w:val="32"/>
      <w:lang w:eastAsia="cs-CZ"/>
    </w:rPr>
  </w:style>
  <w:style w:type="paragraph" w:styleId="Zhlav">
    <w:name w:val="header"/>
    <w:basedOn w:val="Normln"/>
    <w:link w:val="ZhlavChar"/>
    <w:rsid w:val="00483426"/>
    <w:pPr>
      <w:tabs>
        <w:tab w:val="center" w:pos="4536"/>
        <w:tab w:val="right" w:pos="9072"/>
      </w:tabs>
    </w:pPr>
  </w:style>
  <w:style w:type="character" w:customStyle="1" w:styleId="ZhlavChar">
    <w:name w:val="Záhlaví Char"/>
    <w:basedOn w:val="Standardnpsmoodstavce"/>
    <w:link w:val="Zhlav"/>
    <w:rsid w:val="0048342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4786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Kamil</cp:lastModifiedBy>
  <cp:revision>3</cp:revision>
  <dcterms:created xsi:type="dcterms:W3CDTF">2018-02-13T09:29:00Z</dcterms:created>
  <dcterms:modified xsi:type="dcterms:W3CDTF">2018-02-19T10:19:00Z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210068821</vt:i4>
  </property>
  <property fmtid="{D5CDD505-2E9C-101B-9397-08002B2CF9AE}" pid="3" name="_NewReviewCycle">
    <vt:lpwstr/>
  </property>
  <property fmtid="{D5CDD505-2E9C-101B-9397-08002B2CF9AE}" pid="4" name="_EmailSubject">
    <vt:lpwstr>Přijaté návrhy na Konferenci vč.doporučení VV </vt:lpwstr>
  </property>
  <property fmtid="{D5CDD505-2E9C-101B-9397-08002B2CF9AE}" pid="5" name="_AuthorEmail">
    <vt:lpwstr>klenik@scnb.cz</vt:lpwstr>
  </property>
  <property fmtid="{D5CDD505-2E9C-101B-9397-08002B2CF9AE}" pid="6" name="_AuthorEmailDisplayName">
    <vt:lpwstr>Kamil Kleník</vt:lpwstr>
  </property>
</Properties>
</file>