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F7" w:rsidRDefault="00B214F7" w:rsidP="00483426">
      <w:pPr>
        <w:pStyle w:val="Heading1"/>
        <w:spacing w:after="120"/>
      </w:pPr>
      <w:r>
        <w:t>návrh změny základního předpisu čns</w:t>
      </w:r>
    </w:p>
    <w:p w:rsidR="00B214F7" w:rsidRDefault="00B214F7" w:rsidP="00483426">
      <w:pPr>
        <w:spacing w:before="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9"/>
        <w:gridCol w:w="1124"/>
        <w:gridCol w:w="2279"/>
        <w:gridCol w:w="3720"/>
      </w:tblGrid>
      <w:tr w:rsidR="00B214F7">
        <w:trPr>
          <w:cantSplit/>
          <w:jc w:val="center"/>
        </w:trPr>
        <w:tc>
          <w:tcPr>
            <w:tcW w:w="5000" w:type="pct"/>
            <w:gridSpan w:val="4"/>
            <w:shd w:val="pct20" w:color="auto" w:fill="auto"/>
          </w:tcPr>
          <w:p w:rsidR="00B214F7" w:rsidRDefault="00B214F7" w:rsidP="001F79FA">
            <w:pPr>
              <w:jc w:val="center"/>
              <w:rPr>
                <w:b/>
                <w:bCs/>
              </w:rPr>
            </w:pPr>
            <w:r>
              <w:rPr>
                <w:b/>
                <w:bCs/>
              </w:rPr>
              <w:t>PŘEDKLADATEL</w:t>
            </w:r>
          </w:p>
        </w:tc>
      </w:tr>
      <w:tr w:rsidR="00B214F7">
        <w:trPr>
          <w:jc w:val="center"/>
        </w:trPr>
        <w:tc>
          <w:tcPr>
            <w:tcW w:w="1744" w:type="pct"/>
            <w:gridSpan w:val="2"/>
          </w:tcPr>
          <w:p w:rsidR="00B214F7" w:rsidRDefault="00B214F7" w:rsidP="001F79FA">
            <w:pPr>
              <w:jc w:val="left"/>
              <w:rPr>
                <w:b/>
                <w:bCs/>
                <w:caps/>
              </w:rPr>
            </w:pPr>
            <w:r>
              <w:rPr>
                <w:b/>
                <w:bCs/>
              </w:rPr>
              <w:t>Název oddílu/KNS/orgánu ČNS</w:t>
            </w:r>
          </w:p>
        </w:tc>
        <w:tc>
          <w:tcPr>
            <w:tcW w:w="3256" w:type="pct"/>
            <w:gridSpan w:val="2"/>
          </w:tcPr>
          <w:p w:rsidR="00B214F7" w:rsidRDefault="00B214F7" w:rsidP="001F79FA">
            <w:r>
              <w:t>VV ČNS</w:t>
            </w:r>
          </w:p>
        </w:tc>
      </w:tr>
      <w:tr w:rsidR="00B214F7">
        <w:trPr>
          <w:jc w:val="center"/>
        </w:trPr>
        <w:tc>
          <w:tcPr>
            <w:tcW w:w="1744" w:type="pct"/>
            <w:gridSpan w:val="2"/>
          </w:tcPr>
          <w:p w:rsidR="00B214F7" w:rsidRDefault="00B214F7" w:rsidP="001F79FA">
            <w:pPr>
              <w:jc w:val="left"/>
              <w:rPr>
                <w:b/>
                <w:bCs/>
                <w:caps/>
              </w:rPr>
            </w:pPr>
            <w:r>
              <w:rPr>
                <w:b/>
                <w:bCs/>
              </w:rPr>
              <w:t>Adresa</w:t>
            </w:r>
          </w:p>
        </w:tc>
        <w:tc>
          <w:tcPr>
            <w:tcW w:w="3256" w:type="pct"/>
            <w:gridSpan w:val="2"/>
          </w:tcPr>
          <w:p w:rsidR="00B214F7" w:rsidRDefault="00B214F7" w:rsidP="001F79FA">
            <w:r>
              <w:t>-</w:t>
            </w:r>
          </w:p>
        </w:tc>
      </w:tr>
      <w:tr w:rsidR="00B214F7">
        <w:trPr>
          <w:jc w:val="center"/>
        </w:trPr>
        <w:tc>
          <w:tcPr>
            <w:tcW w:w="1744" w:type="pct"/>
            <w:gridSpan w:val="2"/>
          </w:tcPr>
          <w:p w:rsidR="00B214F7" w:rsidRDefault="00B214F7" w:rsidP="001F79FA">
            <w:pPr>
              <w:jc w:val="left"/>
              <w:rPr>
                <w:b/>
                <w:bCs/>
                <w:caps/>
              </w:rPr>
            </w:pPr>
            <w:r>
              <w:rPr>
                <w:b/>
                <w:bCs/>
              </w:rPr>
              <w:t>Okres, kraj</w:t>
            </w:r>
          </w:p>
        </w:tc>
        <w:tc>
          <w:tcPr>
            <w:tcW w:w="3256" w:type="pct"/>
            <w:gridSpan w:val="2"/>
          </w:tcPr>
          <w:p w:rsidR="00B214F7" w:rsidRDefault="00B214F7" w:rsidP="001F79FA">
            <w:r>
              <w:t>-</w:t>
            </w:r>
          </w:p>
        </w:tc>
      </w:tr>
      <w:tr w:rsidR="00B214F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4"/>
          </w:tcPr>
          <w:p w:rsidR="00B214F7" w:rsidRDefault="00B214F7" w:rsidP="001F79FA">
            <w:pPr>
              <w:rPr>
                <w:b/>
                <w:bCs/>
              </w:rPr>
            </w:pPr>
            <w:r>
              <w:rPr>
                <w:b/>
                <w:bCs/>
              </w:rPr>
              <w:t>Za předkladatele</w:t>
            </w:r>
          </w:p>
        </w:tc>
      </w:tr>
      <w:tr w:rsidR="00B214F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Pr>
          <w:p w:rsidR="00B214F7" w:rsidRDefault="00B214F7" w:rsidP="001F79FA">
            <w:pPr>
              <w:pStyle w:val="Header"/>
              <w:tabs>
                <w:tab w:val="clear" w:pos="4536"/>
                <w:tab w:val="clear" w:pos="9072"/>
              </w:tabs>
              <w:jc w:val="left"/>
            </w:pPr>
            <w:r>
              <w:t>Datum a místo</w:t>
            </w:r>
          </w:p>
        </w:tc>
        <w:tc>
          <w:tcPr>
            <w:tcW w:w="1847" w:type="pct"/>
            <w:gridSpan w:val="2"/>
          </w:tcPr>
          <w:p w:rsidR="00B214F7" w:rsidRDefault="00B214F7" w:rsidP="001F79FA">
            <w:pPr>
              <w:pStyle w:val="Header"/>
              <w:tabs>
                <w:tab w:val="clear" w:pos="4536"/>
                <w:tab w:val="clear" w:pos="9072"/>
              </w:tabs>
              <w:jc w:val="left"/>
            </w:pPr>
            <w:r>
              <w:t>Jméno oprávněné osoby</w:t>
            </w:r>
          </w:p>
        </w:tc>
        <w:tc>
          <w:tcPr>
            <w:tcW w:w="2019" w:type="pct"/>
          </w:tcPr>
          <w:p w:rsidR="00B214F7" w:rsidRDefault="00B214F7" w:rsidP="001F79FA">
            <w:pPr>
              <w:pStyle w:val="Header"/>
              <w:tabs>
                <w:tab w:val="clear" w:pos="4536"/>
                <w:tab w:val="clear" w:pos="9072"/>
              </w:tabs>
              <w:jc w:val="left"/>
            </w:pPr>
            <w:r>
              <w:t>Podpis oprávněné osoby a razítko oddílu*</w:t>
            </w:r>
          </w:p>
        </w:tc>
      </w:tr>
      <w:tr w:rsidR="00B214F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Pr>
          <w:p w:rsidR="00B214F7" w:rsidRDefault="00B214F7" w:rsidP="001F79FA">
            <w:pPr>
              <w:pStyle w:val="Header"/>
              <w:tabs>
                <w:tab w:val="clear" w:pos="4536"/>
                <w:tab w:val="clear" w:pos="9072"/>
              </w:tabs>
              <w:spacing w:before="600"/>
            </w:pPr>
            <w:r>
              <w:t>14.10.2016</w:t>
            </w:r>
          </w:p>
        </w:tc>
        <w:tc>
          <w:tcPr>
            <w:tcW w:w="1847" w:type="pct"/>
            <w:gridSpan w:val="2"/>
          </w:tcPr>
          <w:p w:rsidR="00B214F7" w:rsidRDefault="00B214F7" w:rsidP="001F79FA">
            <w:pPr>
              <w:pStyle w:val="Header"/>
              <w:tabs>
                <w:tab w:val="clear" w:pos="4536"/>
                <w:tab w:val="clear" w:pos="9072"/>
              </w:tabs>
              <w:spacing w:before="600"/>
            </w:pPr>
            <w:r>
              <w:t xml:space="preserve"> Kamil Kleník, prezident</w:t>
            </w:r>
            <w:bookmarkStart w:id="0" w:name="_GoBack"/>
            <w:bookmarkEnd w:id="0"/>
          </w:p>
        </w:tc>
        <w:tc>
          <w:tcPr>
            <w:tcW w:w="2019" w:type="pct"/>
          </w:tcPr>
          <w:p w:rsidR="00B214F7" w:rsidRDefault="00B214F7" w:rsidP="001F79FA">
            <w:pPr>
              <w:pStyle w:val="Header"/>
              <w:tabs>
                <w:tab w:val="clear" w:pos="4536"/>
                <w:tab w:val="clear" w:pos="9072"/>
              </w:tabs>
              <w:spacing w:before="600"/>
              <w:jc w:val="center"/>
            </w:pPr>
          </w:p>
        </w:tc>
      </w:tr>
    </w:tbl>
    <w:p w:rsidR="00B214F7" w:rsidRDefault="00B214F7" w:rsidP="00483426">
      <w:pPr>
        <w:pStyle w:val="Header"/>
        <w:tabs>
          <w:tab w:val="clear" w:pos="4536"/>
          <w:tab w:val="clear" w:pos="9072"/>
        </w:tabs>
        <w:spacing w:before="120"/>
      </w:pPr>
      <w:r>
        <w:t>*) U KNS a orgánů ČNS není razítko vyžadováno.</w:t>
      </w:r>
    </w:p>
    <w:p w:rsidR="00B214F7" w:rsidRDefault="00B214F7" w:rsidP="00483426">
      <w:pPr>
        <w:pStyle w:val="Header"/>
        <w:tabs>
          <w:tab w:val="clear" w:pos="4536"/>
          <w:tab w:val="clear" w:pos="9072"/>
        </w:tabs>
        <w:spacing w:before="120" w:after="120"/>
      </w:pPr>
      <w:r>
        <w:t>V souladu se Stanovami ČNS oprávněný předkladatel předkládá níže uvedený návrh na změnu základního předpisu ČNS. Jeden návrh může obsahovat změnu více článků jednoho předpisu, ale pouze těch, do kterých navržená změna zasahuje. V opačném případě musí být každý navrženou změnou dotčený článek předkládán samostatně.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3"/>
        <w:gridCol w:w="1268"/>
        <w:gridCol w:w="1516"/>
        <w:gridCol w:w="1387"/>
        <w:gridCol w:w="1828"/>
      </w:tblGrid>
      <w:tr w:rsidR="00B214F7">
        <w:trPr>
          <w:cantSplit/>
          <w:jc w:val="center"/>
        </w:trPr>
        <w:tc>
          <w:tcPr>
            <w:tcW w:w="5000" w:type="pct"/>
            <w:gridSpan w:val="5"/>
            <w:shd w:val="pct20" w:color="auto" w:fill="auto"/>
          </w:tcPr>
          <w:p w:rsidR="00B214F7" w:rsidRDefault="00B214F7" w:rsidP="001F79FA">
            <w:pPr>
              <w:jc w:val="center"/>
              <w:rPr>
                <w:b/>
                <w:bCs/>
              </w:rPr>
            </w:pPr>
            <w:r>
              <w:rPr>
                <w:b/>
                <w:bCs/>
              </w:rPr>
              <w:t>NÁVRH ZMĚNY – 1. KOLO</w:t>
            </w:r>
          </w:p>
        </w:tc>
      </w:tr>
      <w:tr w:rsidR="00B214F7">
        <w:trPr>
          <w:jc w:val="center"/>
        </w:trPr>
        <w:tc>
          <w:tcPr>
            <w:tcW w:w="1744" w:type="pct"/>
          </w:tcPr>
          <w:p w:rsidR="00B214F7" w:rsidRDefault="00B214F7" w:rsidP="001F79FA">
            <w:pPr>
              <w:jc w:val="left"/>
              <w:rPr>
                <w:b/>
                <w:bCs/>
                <w:caps/>
              </w:rPr>
            </w:pPr>
            <w:r>
              <w:rPr>
                <w:b/>
                <w:bCs/>
              </w:rPr>
              <w:t>Název základního předpisu *</w:t>
            </w:r>
          </w:p>
        </w:tc>
        <w:tc>
          <w:tcPr>
            <w:tcW w:w="688" w:type="pct"/>
          </w:tcPr>
          <w:p w:rsidR="00B214F7" w:rsidRPr="00A604D3" w:rsidRDefault="00B214F7" w:rsidP="001F79FA">
            <w:pPr>
              <w:rPr>
                <w:strike/>
              </w:rPr>
            </w:pPr>
            <w:r w:rsidRPr="00A604D3">
              <w:rPr>
                <w:strike/>
              </w:rPr>
              <w:t>Stanovy</w:t>
            </w:r>
          </w:p>
        </w:tc>
        <w:tc>
          <w:tcPr>
            <w:tcW w:w="823" w:type="pct"/>
          </w:tcPr>
          <w:p w:rsidR="00B214F7" w:rsidRPr="00A604D3" w:rsidRDefault="00B214F7" w:rsidP="001F79FA">
            <w:pPr>
              <w:rPr>
                <w:strike/>
              </w:rPr>
            </w:pPr>
            <w:r w:rsidRPr="00A604D3">
              <w:rPr>
                <w:strike/>
              </w:rPr>
              <w:t>Soutěžní řád</w:t>
            </w:r>
          </w:p>
        </w:tc>
        <w:tc>
          <w:tcPr>
            <w:tcW w:w="753" w:type="pct"/>
          </w:tcPr>
          <w:p w:rsidR="00B214F7" w:rsidRDefault="00B214F7" w:rsidP="001F79FA">
            <w:r>
              <w:t>Pravidla</w:t>
            </w:r>
          </w:p>
        </w:tc>
        <w:tc>
          <w:tcPr>
            <w:tcW w:w="992" w:type="pct"/>
          </w:tcPr>
          <w:p w:rsidR="00B214F7" w:rsidRPr="00A604D3" w:rsidRDefault="00B214F7" w:rsidP="001F79FA">
            <w:pPr>
              <w:rPr>
                <w:strike/>
              </w:rPr>
            </w:pPr>
            <w:r w:rsidRPr="00A604D3">
              <w:rPr>
                <w:strike/>
              </w:rPr>
              <w:t>Disciplinární řád</w:t>
            </w:r>
          </w:p>
        </w:tc>
      </w:tr>
      <w:tr w:rsidR="00B214F7">
        <w:trPr>
          <w:cantSplit/>
          <w:jc w:val="center"/>
        </w:trPr>
        <w:tc>
          <w:tcPr>
            <w:tcW w:w="5000" w:type="pct"/>
            <w:gridSpan w:val="5"/>
            <w:shd w:val="pct20" w:color="auto" w:fill="auto"/>
          </w:tcPr>
          <w:p w:rsidR="00B214F7" w:rsidRPr="006C67B5" w:rsidRDefault="00B214F7" w:rsidP="001F79FA">
            <w:pPr>
              <w:rPr>
                <w:b/>
                <w:bCs/>
              </w:rPr>
            </w:pPr>
            <w:r>
              <w:rPr>
                <w:b/>
                <w:bCs/>
              </w:rPr>
              <w:t>Změna (vyplňuje předkladatel)</w:t>
            </w:r>
          </w:p>
        </w:tc>
      </w:tr>
      <w:tr w:rsidR="00B214F7">
        <w:trPr>
          <w:cantSplit/>
          <w:jc w:val="center"/>
        </w:trPr>
        <w:tc>
          <w:tcPr>
            <w:tcW w:w="5000" w:type="pct"/>
            <w:gridSpan w:val="5"/>
          </w:tcPr>
          <w:p w:rsidR="00B214F7" w:rsidRPr="006C67B5" w:rsidRDefault="00B214F7" w:rsidP="001F79FA">
            <w:pPr>
              <w:rPr>
                <w:b/>
                <w:bCs/>
              </w:rPr>
            </w:pPr>
            <w:r>
              <w:rPr>
                <w:b/>
                <w:bCs/>
              </w:rPr>
              <w:t>s</w:t>
            </w:r>
            <w:r w:rsidRPr="006C67B5">
              <w:rPr>
                <w:b/>
                <w:bCs/>
              </w:rPr>
              <w:t>távající text dotčeného článku</w:t>
            </w:r>
            <w:r>
              <w:rPr>
                <w:b/>
                <w:bCs/>
              </w:rPr>
              <w:t xml:space="preserve"> (vč. číslování a odrážek):</w:t>
            </w:r>
          </w:p>
        </w:tc>
      </w:tr>
      <w:tr w:rsidR="00B214F7">
        <w:trPr>
          <w:cantSplit/>
          <w:jc w:val="center"/>
        </w:trPr>
        <w:tc>
          <w:tcPr>
            <w:tcW w:w="5000" w:type="pct"/>
            <w:gridSpan w:val="5"/>
          </w:tcPr>
          <w:p w:rsidR="00B214F7" w:rsidRPr="004C3EA6" w:rsidRDefault="00B214F7" w:rsidP="001F79FA">
            <w:pPr>
              <w:autoSpaceDE w:val="0"/>
              <w:autoSpaceDN w:val="0"/>
              <w:adjustRightInd w:val="0"/>
              <w:rPr>
                <w:color w:val="000000"/>
                <w:sz w:val="23"/>
                <w:szCs w:val="23"/>
              </w:rPr>
            </w:pPr>
            <w:r w:rsidRPr="004C3EA6">
              <w:rPr>
                <w:color w:val="000000"/>
                <w:sz w:val="23"/>
                <w:szCs w:val="23"/>
              </w:rPr>
              <w:t xml:space="preserve">7.7.1 Hráč se při hře dotkne části sítě vně hřiště, upínacího zařízení, sloupků, jiných předmětů i osob mimo herní prostor, pokud neovlivní hru. Hráč se při hře dotkne sítě, byla-li na něj míčem nebo soupeřem naražena. Hráč se při hře dotkne soupeřova herního pole pod sítí, pokud tím neovlivní hru. </w:t>
            </w:r>
          </w:p>
          <w:p w:rsidR="00B214F7" w:rsidRPr="004C3EA6" w:rsidRDefault="00B214F7" w:rsidP="001F79FA">
            <w:pPr>
              <w:autoSpaceDE w:val="0"/>
              <w:autoSpaceDN w:val="0"/>
              <w:adjustRightInd w:val="0"/>
              <w:rPr>
                <w:color w:val="000000"/>
                <w:sz w:val="23"/>
                <w:szCs w:val="23"/>
              </w:rPr>
            </w:pPr>
            <w:r w:rsidRPr="004C3EA6">
              <w:rPr>
                <w:color w:val="000000"/>
                <w:sz w:val="23"/>
                <w:szCs w:val="23"/>
              </w:rPr>
              <w:t xml:space="preserve">7.7.2 Chybná herní činnost (bod pro soupeře): </w:t>
            </w:r>
          </w:p>
          <w:p w:rsidR="00B214F7" w:rsidRPr="00C77DD3" w:rsidRDefault="00B214F7" w:rsidP="001F79FA">
            <w:pPr>
              <w:rPr>
                <w:sz w:val="23"/>
                <w:szCs w:val="23"/>
              </w:rPr>
            </w:pPr>
            <w:r w:rsidRPr="004C3EA6">
              <w:rPr>
                <w:color w:val="000000"/>
                <w:sz w:val="23"/>
                <w:szCs w:val="23"/>
              </w:rPr>
              <w:t>Hráč se při hře dotkne sítě, podpěrných tyčí nebo soupeřova herního pole, vyjma když na něj byla naražena míčem nebo soupeřem a vyjma dotyku soupeřova pole pod sítí pokud to neovlivnilo hru, a to i tehdy, byl-li míč již mimo hru a hráč se sítě, tyče nebo soupeřova herního pole dotkl v důsledku dokončování pohybů v předchozí akci. Tato chyba anuluje všechny (i odpískané) soupeřovy chyby jiného druhu; toto neplatí v případě, že k dotyku sítě dojde po předchozím nedovoleném dotyku protihráčem a faulovaný hráč se v důsledku toho dotkne sítě. Hráč dotykem s cizím tělesem získal výhodu.</w:t>
            </w:r>
          </w:p>
        </w:tc>
      </w:tr>
      <w:tr w:rsidR="00B214F7">
        <w:trPr>
          <w:cantSplit/>
          <w:jc w:val="center"/>
        </w:trPr>
        <w:tc>
          <w:tcPr>
            <w:tcW w:w="5000" w:type="pct"/>
            <w:gridSpan w:val="5"/>
          </w:tcPr>
          <w:p w:rsidR="00B214F7" w:rsidRPr="006C67B5" w:rsidRDefault="00B214F7" w:rsidP="001F79FA">
            <w:pPr>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B214F7" w:rsidRPr="006C67B5">
        <w:trPr>
          <w:cantSplit/>
          <w:jc w:val="center"/>
        </w:trPr>
        <w:tc>
          <w:tcPr>
            <w:tcW w:w="5000" w:type="pct"/>
            <w:gridSpan w:val="5"/>
          </w:tcPr>
          <w:p w:rsidR="00B214F7" w:rsidRPr="004C3EA6" w:rsidRDefault="00B214F7" w:rsidP="001F79FA">
            <w:pPr>
              <w:autoSpaceDE w:val="0"/>
              <w:autoSpaceDN w:val="0"/>
              <w:adjustRightInd w:val="0"/>
              <w:rPr>
                <w:color w:val="000000"/>
                <w:sz w:val="23"/>
                <w:szCs w:val="23"/>
              </w:rPr>
            </w:pPr>
            <w:r w:rsidRPr="004C3EA6">
              <w:rPr>
                <w:color w:val="000000"/>
                <w:sz w:val="23"/>
                <w:szCs w:val="23"/>
              </w:rPr>
              <w:t xml:space="preserve">7.7.1 Hráč se při hře dotkne </w:t>
            </w:r>
            <w:r>
              <w:rPr>
                <w:color w:val="000000"/>
                <w:sz w:val="23"/>
                <w:szCs w:val="23"/>
              </w:rPr>
              <w:t>cizího tělesa (</w:t>
            </w:r>
            <w:r w:rsidRPr="004C3EA6">
              <w:rPr>
                <w:color w:val="000000"/>
                <w:sz w:val="23"/>
                <w:szCs w:val="23"/>
              </w:rPr>
              <w:t>části sítě vně hřiště, upínacího zařízení, sloupků, jiných předmětů i osob mimo herní prostor</w:t>
            </w:r>
            <w:r>
              <w:rPr>
                <w:color w:val="000000"/>
                <w:sz w:val="23"/>
                <w:szCs w:val="23"/>
              </w:rPr>
              <w:t>)</w:t>
            </w:r>
            <w:r w:rsidRPr="004C3EA6">
              <w:rPr>
                <w:color w:val="000000"/>
                <w:sz w:val="23"/>
                <w:szCs w:val="23"/>
              </w:rPr>
              <w:t>, pokud</w:t>
            </w:r>
            <w:r>
              <w:rPr>
                <w:color w:val="000000"/>
                <w:sz w:val="23"/>
                <w:szCs w:val="23"/>
              </w:rPr>
              <w:t xml:space="preserve"> tím neznemožní nebo i jen neztíží následnou akci soupeře</w:t>
            </w:r>
            <w:r w:rsidRPr="004C3EA6">
              <w:rPr>
                <w:color w:val="000000"/>
                <w:sz w:val="23"/>
                <w:szCs w:val="23"/>
              </w:rPr>
              <w:t xml:space="preserve">. Hráč se při hře dotkne sítě, byla-li na něj míčem nebo soupeřem naražena. Hráč se při hře dotkne soupeřova herního pole pod sítí, pokud tím neovlivní hru. </w:t>
            </w:r>
          </w:p>
          <w:p w:rsidR="00B214F7" w:rsidRPr="004C3EA6" w:rsidRDefault="00B214F7" w:rsidP="001F79FA">
            <w:pPr>
              <w:autoSpaceDE w:val="0"/>
              <w:autoSpaceDN w:val="0"/>
              <w:adjustRightInd w:val="0"/>
              <w:rPr>
                <w:color w:val="000000"/>
                <w:sz w:val="23"/>
                <w:szCs w:val="23"/>
              </w:rPr>
            </w:pPr>
            <w:r w:rsidRPr="004C3EA6">
              <w:rPr>
                <w:color w:val="000000"/>
                <w:sz w:val="23"/>
                <w:szCs w:val="23"/>
              </w:rPr>
              <w:t xml:space="preserve">7.7.2 Chybná herní činnost (bod pro soupeře): </w:t>
            </w:r>
          </w:p>
          <w:p w:rsidR="00B214F7" w:rsidRPr="006C67B5" w:rsidRDefault="00B214F7" w:rsidP="001F79FA">
            <w:r w:rsidRPr="004C3EA6">
              <w:rPr>
                <w:color w:val="000000"/>
                <w:sz w:val="23"/>
                <w:szCs w:val="23"/>
              </w:rPr>
              <w:t xml:space="preserve">Hráč se při hře dotkne sítě, podpěrných tyčí nebo soupeřova herního pole, vyjma když na něj byla naražena míčem nebo soupeřem a vyjma dotyku soupeřova pole pod sítí pokud to neovlivnilo hru, a to i tehdy, byl-li míč již mimo hru a hráč se sítě, tyče nebo soupeřova herního pole dotkl v důsledku dokončování pohybů v předchozí akci. Tato chyba anuluje všechny (i odpískané) soupeřovy chyby jiného druhu; toto neplatí v případě, že k dotyku sítě dojde po předchozím nedovoleném dotyku protihráčem a faulovaný hráč se v důsledku toho dotkne sítě. Hráč dotykem s cizím tělesem </w:t>
            </w:r>
            <w:r>
              <w:rPr>
                <w:color w:val="000000"/>
                <w:sz w:val="23"/>
                <w:szCs w:val="23"/>
              </w:rPr>
              <w:t>znemožnil nebo ztížil následnou akci soupeře.</w:t>
            </w:r>
          </w:p>
        </w:tc>
      </w:tr>
      <w:tr w:rsidR="00B214F7" w:rsidRPr="006C67B5">
        <w:trPr>
          <w:cantSplit/>
          <w:jc w:val="center"/>
        </w:trPr>
        <w:tc>
          <w:tcPr>
            <w:tcW w:w="5000" w:type="pct"/>
            <w:gridSpan w:val="5"/>
          </w:tcPr>
          <w:p w:rsidR="00B214F7" w:rsidRPr="006C67B5" w:rsidRDefault="00B214F7" w:rsidP="001F79FA">
            <w:pPr>
              <w:rPr>
                <w:b/>
                <w:bCs/>
              </w:rPr>
            </w:pPr>
            <w:r>
              <w:rPr>
                <w:b/>
                <w:bCs/>
              </w:rPr>
              <w:t>z</w:t>
            </w:r>
            <w:r w:rsidRPr="006C67B5">
              <w:rPr>
                <w:b/>
                <w:bCs/>
              </w:rPr>
              <w:t>důvodnění návrhu</w:t>
            </w:r>
            <w:r>
              <w:rPr>
                <w:b/>
                <w:bCs/>
              </w:rPr>
              <w:t xml:space="preserve">: </w:t>
            </w:r>
          </w:p>
        </w:tc>
      </w:tr>
      <w:tr w:rsidR="00B214F7" w:rsidRPr="006C67B5">
        <w:trPr>
          <w:cantSplit/>
          <w:jc w:val="center"/>
        </w:trPr>
        <w:tc>
          <w:tcPr>
            <w:tcW w:w="5000" w:type="pct"/>
            <w:gridSpan w:val="5"/>
          </w:tcPr>
          <w:p w:rsidR="00B214F7" w:rsidRDefault="00B214F7" w:rsidP="001F79FA">
            <w:r>
              <w:t xml:space="preserve">Získání výhody při dotyku s cizím tělesem je velmi obtížně posunovatelné a umožňuje výrazně subjektivní hodnocení. Rozhodčí proto nyní trestají automaticky jakýkoli dotek hráče s cizím tělesem, ale absurdně pouze v okamžiku vybírání míče nebo v přípravě na vybírání míče. Přitom obdobný dotyk hráče v okamžiku, kdy je mimo dosah míče, ponechává rozhodčí zcela bez povšimnutí. Nelogicky je povoleno vyskočit mimo hrací prostor, ve vzduchu zahrát míč a poté se dotknout cizího tělesa – rozhodčí to nepíská, i když dopadem mimo hráč přeci také získal výhodu! Naprosto vůbec se nepíská dotek hráče s napínacími kůly, se stolkem nebo židlí rozhodčího nebo s částí sítě mimo podpěrní tyčky, i když tím hráč také získává výhodu! </w:t>
            </w:r>
          </w:p>
          <w:p w:rsidR="00B214F7" w:rsidRDefault="00B214F7" w:rsidP="001F79FA">
            <w:r>
              <w:t xml:space="preserve">Navržené pravidlo usnadní rozhodčím posuzování všech herních situací, kdy je míč blízko ohraničení herní plochy. Přitom ohraničení plochy zůstane zachováno a v něm nesmí být žádné cizí těleso – hráči však mohou bez obav vyběhnout mimo něj a nemusí nyní povoleně vyskočit a odehrát míč mimo hrací prostor ze vzduchu s následným obtížně kontrolovatelným dopadem. Návrh počítá i s trestem při znemožnění nebo ztížení akce soupeře následkem dotyku s cizím tělesem (poražení stolku rozhodčího směrem k soupeři, posunutí ukazatele skóre ap.). </w:t>
            </w:r>
          </w:p>
          <w:p w:rsidR="00B214F7" w:rsidRPr="006C67B5" w:rsidRDefault="00B214F7" w:rsidP="001F79FA">
            <w:r>
              <w:t xml:space="preserve">Návrh přispěje k pestrosti útočné hry, protože umožní vybírání míče i mimo herní prostor, čímž se zvýší kvalita obranné fáze, razantní smečaři budou muset hrát pestřejší údery, hráči v poli budou atraktivně vybírat více útoků a hra bude plynulejší. </w:t>
            </w:r>
            <w:r>
              <w:rPr>
                <w:color w:val="000000"/>
              </w:rPr>
              <w:t>Jde zároveň o přizpůsobení se mezinárodním pravidlům futnetu, což prospěje všem hráčům a hráčkám reprezentace.</w:t>
            </w:r>
          </w:p>
        </w:tc>
      </w:tr>
      <w:tr w:rsidR="00B214F7" w:rsidRPr="006C67B5">
        <w:trPr>
          <w:cantSplit/>
          <w:jc w:val="center"/>
        </w:trPr>
        <w:tc>
          <w:tcPr>
            <w:tcW w:w="5000" w:type="pct"/>
            <w:gridSpan w:val="5"/>
            <w:shd w:val="pct20" w:color="auto" w:fill="auto"/>
          </w:tcPr>
          <w:p w:rsidR="00B214F7" w:rsidRPr="005B7A43" w:rsidRDefault="00B214F7" w:rsidP="001F79FA">
            <w:pPr>
              <w:rPr>
                <w:b/>
                <w:bCs/>
              </w:rPr>
            </w:pPr>
            <w:r w:rsidRPr="005B7A43">
              <w:rPr>
                <w:b/>
                <w:bCs/>
              </w:rPr>
              <w:t>Doporučení 1</w:t>
            </w:r>
            <w:r>
              <w:rPr>
                <w:b/>
                <w:bCs/>
              </w:rPr>
              <w:t xml:space="preserve"> (vyplňuje orgán ČNS)</w:t>
            </w:r>
          </w:p>
        </w:tc>
      </w:tr>
      <w:tr w:rsidR="00B214F7">
        <w:trPr>
          <w:jc w:val="center"/>
        </w:trPr>
        <w:tc>
          <w:tcPr>
            <w:tcW w:w="1744" w:type="pct"/>
          </w:tcPr>
          <w:p w:rsidR="00B214F7" w:rsidRDefault="00B214F7" w:rsidP="001F79FA">
            <w:pPr>
              <w:jc w:val="left"/>
              <w:rPr>
                <w:b/>
                <w:bCs/>
                <w:caps/>
              </w:rPr>
            </w:pPr>
            <w:r>
              <w:rPr>
                <w:b/>
                <w:bCs/>
              </w:rPr>
              <w:t>Název orgánu ČNS</w:t>
            </w:r>
          </w:p>
        </w:tc>
        <w:tc>
          <w:tcPr>
            <w:tcW w:w="3256" w:type="pct"/>
            <w:gridSpan w:val="4"/>
          </w:tcPr>
          <w:p w:rsidR="00B214F7" w:rsidRDefault="00B214F7" w:rsidP="001F79FA">
            <w:r>
              <w:t>KTR ČNS</w:t>
            </w:r>
          </w:p>
        </w:tc>
      </w:tr>
      <w:tr w:rsidR="00B214F7" w:rsidRPr="006C67B5">
        <w:trPr>
          <w:cantSplit/>
          <w:jc w:val="center"/>
        </w:trPr>
        <w:tc>
          <w:tcPr>
            <w:tcW w:w="5000" w:type="pct"/>
            <w:gridSpan w:val="5"/>
          </w:tcPr>
          <w:p w:rsidR="00B214F7" w:rsidRPr="006C67B5" w:rsidRDefault="00B214F7"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B214F7" w:rsidRPr="006C67B5">
        <w:trPr>
          <w:cantSplit/>
          <w:jc w:val="center"/>
        </w:trPr>
        <w:tc>
          <w:tcPr>
            <w:tcW w:w="5000" w:type="pct"/>
            <w:gridSpan w:val="5"/>
          </w:tcPr>
          <w:p w:rsidR="00B214F7" w:rsidRPr="006C67B5" w:rsidRDefault="00B214F7" w:rsidP="001F79FA">
            <w:pPr>
              <w:spacing w:before="120"/>
            </w:pPr>
            <w:r>
              <w:t>Komise návrh nedoporučuje ke schválení. Komise sice souhlasí s ve zdůvodnění předkladatele uváděnou vyšší diváckou atraktivitou při obranných zákrocích, ale zároveň vidí větší riziko zranění hráčů nebo diváků při nich. Ve zdůvodnění předkladatele se mj. uvádí riziko při výskoku hráče. Výskoky se však týkají omezené vzdálenosti (do cca 1,5 metru od okraje hrací plochy), zatímco po realizaci navržené změny by hráč mohl vbíhat neomezeně daleko za okraj hrací plochy. Komise menší rizika shledává v halovém prostředí, kde je po celé hale (většinou se symetrickou dispozicí) jednotný povrch (hrací plochy i plochy za ní) a diváci jsou odděleni zábradlím tribuny. U venkovních areálů je větší členitost, asymetrie, za okrajem hrací plochy většinou následuje zásadní změna povrchu (vč. skloněných ploch), často chybí zábrana k oddělení diváků od hrací plochy a tím je riziko zranění vyšší. Dále může docházet nejen ke zraněním hráčů nebo diváků, ale i k poškození zařízení areálu (naskočení na plastové sedačky, lezení na ochranné sítě…). Co se týká případného sjednocení s mezinárodními pravidly, toto téma by mělo být diskutováno samostatně, nikoli řešeno formou postupného zavádění do tuzemských pravidel.</w:t>
            </w:r>
          </w:p>
        </w:tc>
      </w:tr>
      <w:tr w:rsidR="00B214F7" w:rsidRPr="006C67B5">
        <w:trPr>
          <w:cantSplit/>
          <w:jc w:val="center"/>
        </w:trPr>
        <w:tc>
          <w:tcPr>
            <w:tcW w:w="5000" w:type="pct"/>
            <w:gridSpan w:val="5"/>
            <w:shd w:val="pct20" w:color="auto" w:fill="auto"/>
          </w:tcPr>
          <w:p w:rsidR="00B214F7" w:rsidRPr="005B7A43" w:rsidRDefault="00B214F7" w:rsidP="001F79FA">
            <w:pPr>
              <w:rPr>
                <w:b/>
                <w:bCs/>
              </w:rPr>
            </w:pPr>
            <w:r w:rsidRPr="005B7A43">
              <w:rPr>
                <w:b/>
                <w:bCs/>
              </w:rPr>
              <w:t xml:space="preserve">Doporučení </w:t>
            </w:r>
            <w:r>
              <w:rPr>
                <w:b/>
                <w:bCs/>
              </w:rPr>
              <w:t>2 (vyplňuje orgán ČNS)</w:t>
            </w:r>
          </w:p>
        </w:tc>
      </w:tr>
      <w:tr w:rsidR="00B214F7">
        <w:trPr>
          <w:jc w:val="center"/>
        </w:trPr>
        <w:tc>
          <w:tcPr>
            <w:tcW w:w="1744" w:type="pct"/>
          </w:tcPr>
          <w:p w:rsidR="00B214F7" w:rsidRDefault="00B214F7" w:rsidP="001F79FA">
            <w:pPr>
              <w:jc w:val="left"/>
              <w:rPr>
                <w:b/>
                <w:bCs/>
                <w:caps/>
              </w:rPr>
            </w:pPr>
            <w:r>
              <w:rPr>
                <w:b/>
                <w:bCs/>
              </w:rPr>
              <w:t>Název orgánu ČNS</w:t>
            </w:r>
          </w:p>
        </w:tc>
        <w:tc>
          <w:tcPr>
            <w:tcW w:w="3256" w:type="pct"/>
            <w:gridSpan w:val="4"/>
          </w:tcPr>
          <w:p w:rsidR="00B214F7" w:rsidRDefault="00B214F7" w:rsidP="001F79FA"/>
        </w:tc>
      </w:tr>
      <w:tr w:rsidR="00B214F7" w:rsidRPr="006C67B5">
        <w:trPr>
          <w:cantSplit/>
          <w:jc w:val="center"/>
        </w:trPr>
        <w:tc>
          <w:tcPr>
            <w:tcW w:w="5000" w:type="pct"/>
            <w:gridSpan w:val="5"/>
          </w:tcPr>
          <w:p w:rsidR="00B214F7" w:rsidRPr="006C67B5" w:rsidRDefault="00B214F7"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B214F7" w:rsidRPr="006C67B5">
        <w:trPr>
          <w:cantSplit/>
          <w:jc w:val="center"/>
        </w:trPr>
        <w:tc>
          <w:tcPr>
            <w:tcW w:w="5000" w:type="pct"/>
            <w:gridSpan w:val="5"/>
          </w:tcPr>
          <w:p w:rsidR="00B214F7" w:rsidRDefault="00B214F7" w:rsidP="001F79FA"/>
          <w:p w:rsidR="00B214F7" w:rsidRPr="006C67B5" w:rsidRDefault="00B214F7" w:rsidP="001F79FA"/>
        </w:tc>
      </w:tr>
      <w:tr w:rsidR="00B214F7" w:rsidRPr="005B7A43">
        <w:trPr>
          <w:cantSplit/>
          <w:jc w:val="center"/>
        </w:trPr>
        <w:tc>
          <w:tcPr>
            <w:tcW w:w="5000" w:type="pct"/>
            <w:gridSpan w:val="5"/>
            <w:shd w:val="pct20" w:color="auto" w:fill="auto"/>
          </w:tcPr>
          <w:p w:rsidR="00B214F7" w:rsidRPr="005B7A43" w:rsidRDefault="00B214F7" w:rsidP="001F79FA">
            <w:pPr>
              <w:rPr>
                <w:b/>
                <w:bCs/>
              </w:rPr>
            </w:pPr>
            <w:r w:rsidRPr="005B7A43">
              <w:rPr>
                <w:b/>
                <w:bCs/>
              </w:rPr>
              <w:t xml:space="preserve">Doporučení </w:t>
            </w:r>
            <w:r>
              <w:rPr>
                <w:b/>
                <w:bCs/>
              </w:rPr>
              <w:t>3 (vyplňuje orgán ČNS)</w:t>
            </w:r>
          </w:p>
        </w:tc>
      </w:tr>
      <w:tr w:rsidR="00B214F7">
        <w:trPr>
          <w:jc w:val="center"/>
        </w:trPr>
        <w:tc>
          <w:tcPr>
            <w:tcW w:w="1744" w:type="pct"/>
          </w:tcPr>
          <w:p w:rsidR="00B214F7" w:rsidRDefault="00B214F7" w:rsidP="001F79FA">
            <w:pPr>
              <w:jc w:val="left"/>
              <w:rPr>
                <w:b/>
                <w:bCs/>
                <w:caps/>
              </w:rPr>
            </w:pPr>
            <w:r>
              <w:rPr>
                <w:b/>
                <w:bCs/>
              </w:rPr>
              <w:t>Název orgánu ČNS</w:t>
            </w:r>
          </w:p>
        </w:tc>
        <w:tc>
          <w:tcPr>
            <w:tcW w:w="3256" w:type="pct"/>
            <w:gridSpan w:val="4"/>
          </w:tcPr>
          <w:p w:rsidR="00B214F7" w:rsidRDefault="00B214F7" w:rsidP="001F79FA"/>
        </w:tc>
      </w:tr>
      <w:tr w:rsidR="00B214F7" w:rsidRPr="006C67B5">
        <w:trPr>
          <w:cantSplit/>
          <w:jc w:val="center"/>
        </w:trPr>
        <w:tc>
          <w:tcPr>
            <w:tcW w:w="5000" w:type="pct"/>
            <w:gridSpan w:val="5"/>
          </w:tcPr>
          <w:p w:rsidR="00B214F7" w:rsidRPr="006C67B5" w:rsidRDefault="00B214F7"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B214F7" w:rsidRPr="006C67B5">
        <w:trPr>
          <w:cantSplit/>
          <w:jc w:val="center"/>
        </w:trPr>
        <w:tc>
          <w:tcPr>
            <w:tcW w:w="5000" w:type="pct"/>
            <w:gridSpan w:val="5"/>
          </w:tcPr>
          <w:p w:rsidR="00B214F7" w:rsidRPr="00A73632" w:rsidRDefault="00B214F7" w:rsidP="001F79FA">
            <w:pPr>
              <w:rPr>
                <w:b/>
                <w:bCs/>
              </w:rPr>
            </w:pPr>
          </w:p>
          <w:p w:rsidR="00B214F7" w:rsidRPr="00A73632" w:rsidRDefault="00B214F7" w:rsidP="001F79FA">
            <w:pPr>
              <w:rPr>
                <w:b/>
                <w:bCs/>
              </w:rPr>
            </w:pPr>
          </w:p>
        </w:tc>
      </w:tr>
    </w:tbl>
    <w:p w:rsidR="00B214F7" w:rsidRDefault="00B214F7" w:rsidP="00483426">
      <w:pPr>
        <w:pStyle w:val="Header"/>
        <w:tabs>
          <w:tab w:val="clear" w:pos="4536"/>
          <w:tab w:val="clear" w:pos="9072"/>
        </w:tabs>
        <w:spacing w:before="120" w:after="120"/>
      </w:pPr>
      <w:r>
        <w:t>Předkladatel ve 2. kole předkládá (na základě obdržených doporučení nebo z jiných důvodů) upravený návrh, kterým se ruší jím předložený návrh z 1. kola. V případě, že upravený návrh předkladatel nepředkládá, zůstává v platnosti návrh z 1. kola.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3"/>
        <w:gridCol w:w="5999"/>
      </w:tblGrid>
      <w:tr w:rsidR="00B214F7">
        <w:trPr>
          <w:cantSplit/>
          <w:jc w:val="center"/>
        </w:trPr>
        <w:tc>
          <w:tcPr>
            <w:tcW w:w="5000" w:type="pct"/>
            <w:gridSpan w:val="2"/>
            <w:shd w:val="pct20" w:color="auto" w:fill="auto"/>
          </w:tcPr>
          <w:p w:rsidR="00B214F7" w:rsidRDefault="00B214F7" w:rsidP="001F79FA">
            <w:pPr>
              <w:jc w:val="center"/>
              <w:rPr>
                <w:b/>
                <w:bCs/>
              </w:rPr>
            </w:pPr>
            <w:r>
              <w:rPr>
                <w:b/>
                <w:bCs/>
              </w:rPr>
              <w:t>UPRAVENÝ NÁVRH ZMĚNY – 2. KOLO</w:t>
            </w:r>
          </w:p>
        </w:tc>
      </w:tr>
      <w:tr w:rsidR="00B214F7" w:rsidRPr="006C67B5">
        <w:trPr>
          <w:cantSplit/>
          <w:jc w:val="center"/>
        </w:trPr>
        <w:tc>
          <w:tcPr>
            <w:tcW w:w="5000" w:type="pct"/>
            <w:gridSpan w:val="2"/>
            <w:shd w:val="pct20" w:color="auto" w:fill="auto"/>
          </w:tcPr>
          <w:p w:rsidR="00B214F7" w:rsidRPr="006C67B5" w:rsidRDefault="00B214F7" w:rsidP="001F79FA">
            <w:pPr>
              <w:rPr>
                <w:b/>
                <w:bCs/>
              </w:rPr>
            </w:pPr>
            <w:r>
              <w:rPr>
                <w:b/>
                <w:bCs/>
              </w:rPr>
              <w:t>Změna (vyplňuje předkladatel)</w:t>
            </w:r>
          </w:p>
        </w:tc>
      </w:tr>
      <w:tr w:rsidR="00B214F7" w:rsidRPr="006C67B5">
        <w:trPr>
          <w:cantSplit/>
          <w:jc w:val="center"/>
        </w:trPr>
        <w:tc>
          <w:tcPr>
            <w:tcW w:w="5000" w:type="pct"/>
            <w:gridSpan w:val="2"/>
          </w:tcPr>
          <w:p w:rsidR="00B214F7" w:rsidRPr="006C67B5" w:rsidRDefault="00B214F7" w:rsidP="001F79FA">
            <w:pPr>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B214F7" w:rsidRPr="006C67B5">
        <w:trPr>
          <w:cantSplit/>
          <w:jc w:val="center"/>
        </w:trPr>
        <w:tc>
          <w:tcPr>
            <w:tcW w:w="5000" w:type="pct"/>
            <w:gridSpan w:val="2"/>
          </w:tcPr>
          <w:p w:rsidR="00B214F7" w:rsidRDefault="00B214F7" w:rsidP="001F79FA"/>
          <w:p w:rsidR="00B214F7" w:rsidRPr="006C67B5" w:rsidRDefault="00B214F7" w:rsidP="001F79FA"/>
        </w:tc>
      </w:tr>
      <w:tr w:rsidR="00B214F7" w:rsidRPr="006C67B5">
        <w:trPr>
          <w:cantSplit/>
          <w:jc w:val="center"/>
        </w:trPr>
        <w:tc>
          <w:tcPr>
            <w:tcW w:w="5000" w:type="pct"/>
            <w:gridSpan w:val="2"/>
          </w:tcPr>
          <w:p w:rsidR="00B214F7" w:rsidRPr="006C67B5" w:rsidRDefault="00B214F7" w:rsidP="001F79FA">
            <w:pPr>
              <w:rPr>
                <w:b/>
                <w:bCs/>
              </w:rPr>
            </w:pPr>
            <w:r>
              <w:rPr>
                <w:b/>
                <w:bCs/>
              </w:rPr>
              <w:t>z</w:t>
            </w:r>
            <w:r w:rsidRPr="006C67B5">
              <w:rPr>
                <w:b/>
                <w:bCs/>
              </w:rPr>
              <w:t>důvodnění návrhu</w:t>
            </w:r>
            <w:r>
              <w:rPr>
                <w:b/>
                <w:bCs/>
              </w:rPr>
              <w:t xml:space="preserve">: </w:t>
            </w:r>
          </w:p>
        </w:tc>
      </w:tr>
      <w:tr w:rsidR="00B214F7" w:rsidRPr="006C67B5">
        <w:trPr>
          <w:cantSplit/>
          <w:jc w:val="center"/>
        </w:trPr>
        <w:tc>
          <w:tcPr>
            <w:tcW w:w="5000" w:type="pct"/>
            <w:gridSpan w:val="2"/>
          </w:tcPr>
          <w:p w:rsidR="00B214F7" w:rsidRDefault="00B214F7" w:rsidP="001F79FA"/>
          <w:p w:rsidR="00B214F7" w:rsidRPr="006C67B5" w:rsidRDefault="00B214F7" w:rsidP="001F79FA"/>
        </w:tc>
      </w:tr>
      <w:tr w:rsidR="00B214F7" w:rsidRPr="005B7A43">
        <w:trPr>
          <w:cantSplit/>
          <w:jc w:val="center"/>
        </w:trPr>
        <w:tc>
          <w:tcPr>
            <w:tcW w:w="5000" w:type="pct"/>
            <w:gridSpan w:val="2"/>
            <w:shd w:val="pct20" w:color="auto" w:fill="auto"/>
          </w:tcPr>
          <w:p w:rsidR="00B214F7" w:rsidRPr="005B7A43" w:rsidRDefault="00B214F7" w:rsidP="001F79FA">
            <w:pPr>
              <w:rPr>
                <w:b/>
                <w:bCs/>
              </w:rPr>
            </w:pPr>
            <w:r w:rsidRPr="005B7A43">
              <w:rPr>
                <w:b/>
                <w:bCs/>
              </w:rPr>
              <w:t>Doporučení 1</w:t>
            </w:r>
            <w:r>
              <w:rPr>
                <w:b/>
                <w:bCs/>
              </w:rPr>
              <w:t xml:space="preserve"> (vyplňuje orgán ČNS)</w:t>
            </w:r>
          </w:p>
        </w:tc>
      </w:tr>
      <w:tr w:rsidR="00B214F7">
        <w:trPr>
          <w:jc w:val="center"/>
        </w:trPr>
        <w:tc>
          <w:tcPr>
            <w:tcW w:w="1744" w:type="pct"/>
          </w:tcPr>
          <w:p w:rsidR="00B214F7" w:rsidRDefault="00B214F7" w:rsidP="001F79FA">
            <w:pPr>
              <w:jc w:val="left"/>
              <w:rPr>
                <w:b/>
                <w:bCs/>
                <w:caps/>
              </w:rPr>
            </w:pPr>
            <w:r>
              <w:rPr>
                <w:b/>
                <w:bCs/>
              </w:rPr>
              <w:t>Název orgánu ČNS</w:t>
            </w:r>
          </w:p>
        </w:tc>
        <w:tc>
          <w:tcPr>
            <w:tcW w:w="3256" w:type="pct"/>
          </w:tcPr>
          <w:p w:rsidR="00B214F7" w:rsidRDefault="00B214F7" w:rsidP="001F79FA"/>
        </w:tc>
      </w:tr>
      <w:tr w:rsidR="00B214F7" w:rsidRPr="006C67B5">
        <w:trPr>
          <w:cantSplit/>
          <w:jc w:val="center"/>
        </w:trPr>
        <w:tc>
          <w:tcPr>
            <w:tcW w:w="5000" w:type="pct"/>
            <w:gridSpan w:val="2"/>
          </w:tcPr>
          <w:p w:rsidR="00B214F7" w:rsidRPr="006C67B5" w:rsidRDefault="00B214F7"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B214F7" w:rsidRPr="006C67B5">
        <w:trPr>
          <w:cantSplit/>
          <w:jc w:val="center"/>
        </w:trPr>
        <w:tc>
          <w:tcPr>
            <w:tcW w:w="5000" w:type="pct"/>
            <w:gridSpan w:val="2"/>
          </w:tcPr>
          <w:p w:rsidR="00B214F7" w:rsidRDefault="00B214F7" w:rsidP="001F79FA"/>
          <w:p w:rsidR="00B214F7" w:rsidRPr="006C67B5" w:rsidRDefault="00B214F7" w:rsidP="001F79FA"/>
        </w:tc>
      </w:tr>
      <w:tr w:rsidR="00B214F7" w:rsidRPr="005B7A43">
        <w:trPr>
          <w:cantSplit/>
          <w:jc w:val="center"/>
        </w:trPr>
        <w:tc>
          <w:tcPr>
            <w:tcW w:w="5000" w:type="pct"/>
            <w:gridSpan w:val="2"/>
            <w:shd w:val="pct20" w:color="auto" w:fill="auto"/>
          </w:tcPr>
          <w:p w:rsidR="00B214F7" w:rsidRPr="005B7A43" w:rsidRDefault="00B214F7" w:rsidP="001F79FA">
            <w:pPr>
              <w:rPr>
                <w:b/>
                <w:bCs/>
              </w:rPr>
            </w:pPr>
            <w:r w:rsidRPr="005B7A43">
              <w:rPr>
                <w:b/>
                <w:bCs/>
              </w:rPr>
              <w:t xml:space="preserve">Doporučení </w:t>
            </w:r>
            <w:r>
              <w:rPr>
                <w:b/>
                <w:bCs/>
              </w:rPr>
              <w:t>2 (vyplňuje orgán ČNS)</w:t>
            </w:r>
          </w:p>
        </w:tc>
      </w:tr>
      <w:tr w:rsidR="00B214F7">
        <w:trPr>
          <w:jc w:val="center"/>
        </w:trPr>
        <w:tc>
          <w:tcPr>
            <w:tcW w:w="1744" w:type="pct"/>
          </w:tcPr>
          <w:p w:rsidR="00B214F7" w:rsidRDefault="00B214F7" w:rsidP="001F79FA">
            <w:pPr>
              <w:jc w:val="left"/>
              <w:rPr>
                <w:b/>
                <w:bCs/>
                <w:caps/>
              </w:rPr>
            </w:pPr>
            <w:r>
              <w:rPr>
                <w:b/>
                <w:bCs/>
              </w:rPr>
              <w:t>Název orgánu ČNS</w:t>
            </w:r>
          </w:p>
        </w:tc>
        <w:tc>
          <w:tcPr>
            <w:tcW w:w="3256" w:type="pct"/>
          </w:tcPr>
          <w:p w:rsidR="00B214F7" w:rsidRDefault="00B214F7" w:rsidP="001F79FA"/>
        </w:tc>
      </w:tr>
      <w:tr w:rsidR="00B214F7" w:rsidRPr="006C67B5">
        <w:trPr>
          <w:cantSplit/>
          <w:jc w:val="center"/>
        </w:trPr>
        <w:tc>
          <w:tcPr>
            <w:tcW w:w="5000" w:type="pct"/>
            <w:gridSpan w:val="2"/>
          </w:tcPr>
          <w:p w:rsidR="00B214F7" w:rsidRPr="006C67B5" w:rsidRDefault="00B214F7"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B214F7" w:rsidRPr="006C67B5">
        <w:trPr>
          <w:cantSplit/>
          <w:jc w:val="center"/>
        </w:trPr>
        <w:tc>
          <w:tcPr>
            <w:tcW w:w="5000" w:type="pct"/>
            <w:gridSpan w:val="2"/>
          </w:tcPr>
          <w:p w:rsidR="00B214F7" w:rsidRDefault="00B214F7" w:rsidP="001F79FA"/>
          <w:p w:rsidR="00B214F7" w:rsidRPr="006C67B5" w:rsidRDefault="00B214F7" w:rsidP="001F79FA"/>
        </w:tc>
      </w:tr>
      <w:tr w:rsidR="00B214F7" w:rsidRPr="005B7A43">
        <w:trPr>
          <w:cantSplit/>
          <w:jc w:val="center"/>
        </w:trPr>
        <w:tc>
          <w:tcPr>
            <w:tcW w:w="5000" w:type="pct"/>
            <w:gridSpan w:val="2"/>
            <w:shd w:val="pct20" w:color="auto" w:fill="auto"/>
          </w:tcPr>
          <w:p w:rsidR="00B214F7" w:rsidRPr="005B7A43" w:rsidRDefault="00B214F7" w:rsidP="001F79FA">
            <w:pPr>
              <w:rPr>
                <w:b/>
                <w:bCs/>
              </w:rPr>
            </w:pPr>
            <w:r w:rsidRPr="005B7A43">
              <w:rPr>
                <w:b/>
                <w:bCs/>
              </w:rPr>
              <w:t xml:space="preserve">Doporučení </w:t>
            </w:r>
            <w:r>
              <w:rPr>
                <w:b/>
                <w:bCs/>
              </w:rPr>
              <w:t>3 (vyplňuje orgán ČNS)</w:t>
            </w:r>
          </w:p>
        </w:tc>
      </w:tr>
      <w:tr w:rsidR="00B214F7">
        <w:trPr>
          <w:jc w:val="center"/>
        </w:trPr>
        <w:tc>
          <w:tcPr>
            <w:tcW w:w="1744" w:type="pct"/>
          </w:tcPr>
          <w:p w:rsidR="00B214F7" w:rsidRDefault="00B214F7" w:rsidP="001F79FA">
            <w:pPr>
              <w:jc w:val="left"/>
              <w:rPr>
                <w:b/>
                <w:bCs/>
                <w:caps/>
              </w:rPr>
            </w:pPr>
            <w:r>
              <w:rPr>
                <w:b/>
                <w:bCs/>
              </w:rPr>
              <w:t>Název orgánu ČNS</w:t>
            </w:r>
          </w:p>
        </w:tc>
        <w:tc>
          <w:tcPr>
            <w:tcW w:w="3256" w:type="pct"/>
          </w:tcPr>
          <w:p w:rsidR="00B214F7" w:rsidRDefault="00B214F7" w:rsidP="001F79FA"/>
        </w:tc>
      </w:tr>
      <w:tr w:rsidR="00B214F7" w:rsidRPr="006C67B5">
        <w:trPr>
          <w:cantSplit/>
          <w:jc w:val="center"/>
        </w:trPr>
        <w:tc>
          <w:tcPr>
            <w:tcW w:w="5000" w:type="pct"/>
            <w:gridSpan w:val="2"/>
          </w:tcPr>
          <w:p w:rsidR="00B214F7" w:rsidRPr="006C67B5" w:rsidRDefault="00B214F7"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B214F7" w:rsidRPr="00A73632">
        <w:trPr>
          <w:cantSplit/>
          <w:jc w:val="center"/>
        </w:trPr>
        <w:tc>
          <w:tcPr>
            <w:tcW w:w="5000" w:type="pct"/>
            <w:gridSpan w:val="2"/>
          </w:tcPr>
          <w:p w:rsidR="00B214F7" w:rsidRPr="00A73632" w:rsidRDefault="00B214F7" w:rsidP="001F79FA">
            <w:pPr>
              <w:rPr>
                <w:b/>
                <w:bCs/>
              </w:rPr>
            </w:pPr>
          </w:p>
          <w:p w:rsidR="00B214F7" w:rsidRPr="00A73632" w:rsidRDefault="00B214F7" w:rsidP="001F79FA">
            <w:pPr>
              <w:rPr>
                <w:b/>
                <w:bCs/>
              </w:rPr>
            </w:pPr>
          </w:p>
        </w:tc>
      </w:tr>
    </w:tbl>
    <w:p w:rsidR="00B214F7" w:rsidRDefault="00B214F7" w:rsidP="00483426">
      <w:pPr>
        <w:pStyle w:val="Header"/>
        <w:tabs>
          <w:tab w:val="clear" w:pos="4536"/>
          <w:tab w:val="clear" w:pos="9072"/>
        </w:tabs>
        <w:spacing w:before="120"/>
      </w:pPr>
      <w:r>
        <w:t xml:space="preserve">*) </w:t>
      </w:r>
      <w:r w:rsidRPr="00492E29">
        <w:t>nehodící se škrtněte</w:t>
      </w:r>
      <w:r>
        <w:t>.</w:t>
      </w:r>
    </w:p>
    <w:p w:rsidR="00B214F7" w:rsidRDefault="00B214F7"/>
    <w:sectPr w:rsidR="00B214F7" w:rsidSect="00B843FD">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2D4"/>
    <w:rsid w:val="00007594"/>
    <w:rsid w:val="00033387"/>
    <w:rsid w:val="00034CFB"/>
    <w:rsid w:val="000714B3"/>
    <w:rsid w:val="00090465"/>
    <w:rsid w:val="00093791"/>
    <w:rsid w:val="00095828"/>
    <w:rsid w:val="000A206A"/>
    <w:rsid w:val="000B4998"/>
    <w:rsid w:val="000D49AF"/>
    <w:rsid w:val="000F05E8"/>
    <w:rsid w:val="0010394F"/>
    <w:rsid w:val="00116F2C"/>
    <w:rsid w:val="00132207"/>
    <w:rsid w:val="0013324A"/>
    <w:rsid w:val="00142DD8"/>
    <w:rsid w:val="001550CF"/>
    <w:rsid w:val="0015635C"/>
    <w:rsid w:val="0015772E"/>
    <w:rsid w:val="001619F7"/>
    <w:rsid w:val="00167D4E"/>
    <w:rsid w:val="00185271"/>
    <w:rsid w:val="0019618F"/>
    <w:rsid w:val="00196ECC"/>
    <w:rsid w:val="001B3BB3"/>
    <w:rsid w:val="001B7698"/>
    <w:rsid w:val="001C21DC"/>
    <w:rsid w:val="001D32F7"/>
    <w:rsid w:val="001D5D48"/>
    <w:rsid w:val="001E3DC7"/>
    <w:rsid w:val="001E5472"/>
    <w:rsid w:val="001E65E2"/>
    <w:rsid w:val="001F79FA"/>
    <w:rsid w:val="00212A58"/>
    <w:rsid w:val="002159BE"/>
    <w:rsid w:val="002169DF"/>
    <w:rsid w:val="002379AE"/>
    <w:rsid w:val="00251CEA"/>
    <w:rsid w:val="0025532A"/>
    <w:rsid w:val="00261B94"/>
    <w:rsid w:val="002636B8"/>
    <w:rsid w:val="00266F69"/>
    <w:rsid w:val="00276FB8"/>
    <w:rsid w:val="00280315"/>
    <w:rsid w:val="00291889"/>
    <w:rsid w:val="002A3BA1"/>
    <w:rsid w:val="002A50C0"/>
    <w:rsid w:val="002B1D83"/>
    <w:rsid w:val="002C16CC"/>
    <w:rsid w:val="002D2036"/>
    <w:rsid w:val="002D5B68"/>
    <w:rsid w:val="002E3E5B"/>
    <w:rsid w:val="002E771A"/>
    <w:rsid w:val="002F08FC"/>
    <w:rsid w:val="002F2717"/>
    <w:rsid w:val="0030514B"/>
    <w:rsid w:val="00313668"/>
    <w:rsid w:val="00334577"/>
    <w:rsid w:val="00335D07"/>
    <w:rsid w:val="00340795"/>
    <w:rsid w:val="00341C3A"/>
    <w:rsid w:val="00347270"/>
    <w:rsid w:val="00373A0F"/>
    <w:rsid w:val="003819FA"/>
    <w:rsid w:val="00381F23"/>
    <w:rsid w:val="00384DDD"/>
    <w:rsid w:val="00390714"/>
    <w:rsid w:val="003A0929"/>
    <w:rsid w:val="003A21F0"/>
    <w:rsid w:val="003B02E7"/>
    <w:rsid w:val="003B3FDA"/>
    <w:rsid w:val="003B580D"/>
    <w:rsid w:val="003B61A0"/>
    <w:rsid w:val="003B655A"/>
    <w:rsid w:val="003C13B9"/>
    <w:rsid w:val="003C2BE1"/>
    <w:rsid w:val="003D7E07"/>
    <w:rsid w:val="003E3BCC"/>
    <w:rsid w:val="003F7C9F"/>
    <w:rsid w:val="00410A44"/>
    <w:rsid w:val="0041744F"/>
    <w:rsid w:val="0041746E"/>
    <w:rsid w:val="00421D44"/>
    <w:rsid w:val="00437EA5"/>
    <w:rsid w:val="00447D06"/>
    <w:rsid w:val="00453495"/>
    <w:rsid w:val="00453870"/>
    <w:rsid w:val="004642FA"/>
    <w:rsid w:val="004808D7"/>
    <w:rsid w:val="00483426"/>
    <w:rsid w:val="00492E29"/>
    <w:rsid w:val="004940A0"/>
    <w:rsid w:val="004A516D"/>
    <w:rsid w:val="004B6758"/>
    <w:rsid w:val="004C3EA6"/>
    <w:rsid w:val="004F1403"/>
    <w:rsid w:val="004F59C8"/>
    <w:rsid w:val="00500B4D"/>
    <w:rsid w:val="005051A7"/>
    <w:rsid w:val="00513663"/>
    <w:rsid w:val="00517028"/>
    <w:rsid w:val="005221C5"/>
    <w:rsid w:val="0052568F"/>
    <w:rsid w:val="00532A65"/>
    <w:rsid w:val="00533637"/>
    <w:rsid w:val="005356E7"/>
    <w:rsid w:val="00537AD4"/>
    <w:rsid w:val="00545515"/>
    <w:rsid w:val="00545995"/>
    <w:rsid w:val="00546E18"/>
    <w:rsid w:val="00560CC5"/>
    <w:rsid w:val="00572A72"/>
    <w:rsid w:val="00576C94"/>
    <w:rsid w:val="00577BBA"/>
    <w:rsid w:val="00577EAA"/>
    <w:rsid w:val="005828B8"/>
    <w:rsid w:val="005829DD"/>
    <w:rsid w:val="00584908"/>
    <w:rsid w:val="00586636"/>
    <w:rsid w:val="00586E4B"/>
    <w:rsid w:val="00586E84"/>
    <w:rsid w:val="005A166F"/>
    <w:rsid w:val="005A3BC8"/>
    <w:rsid w:val="005A7B66"/>
    <w:rsid w:val="005B079B"/>
    <w:rsid w:val="005B329E"/>
    <w:rsid w:val="005B7A43"/>
    <w:rsid w:val="005D6007"/>
    <w:rsid w:val="005F40A2"/>
    <w:rsid w:val="005F65EE"/>
    <w:rsid w:val="0060130C"/>
    <w:rsid w:val="0062114C"/>
    <w:rsid w:val="00627546"/>
    <w:rsid w:val="0063105F"/>
    <w:rsid w:val="00635120"/>
    <w:rsid w:val="0065419A"/>
    <w:rsid w:val="006552FE"/>
    <w:rsid w:val="006605C3"/>
    <w:rsid w:val="006658A1"/>
    <w:rsid w:val="00673235"/>
    <w:rsid w:val="00674173"/>
    <w:rsid w:val="00677AA2"/>
    <w:rsid w:val="006A1A7F"/>
    <w:rsid w:val="006B0425"/>
    <w:rsid w:val="006B64CF"/>
    <w:rsid w:val="006C328C"/>
    <w:rsid w:val="006C3C14"/>
    <w:rsid w:val="006C5023"/>
    <w:rsid w:val="006C67B5"/>
    <w:rsid w:val="006C6B04"/>
    <w:rsid w:val="006E1902"/>
    <w:rsid w:val="00700C03"/>
    <w:rsid w:val="00701E95"/>
    <w:rsid w:val="00724933"/>
    <w:rsid w:val="00725A1B"/>
    <w:rsid w:val="00734408"/>
    <w:rsid w:val="00735AB7"/>
    <w:rsid w:val="0074472B"/>
    <w:rsid w:val="007519FB"/>
    <w:rsid w:val="00764821"/>
    <w:rsid w:val="00773D7F"/>
    <w:rsid w:val="0079215B"/>
    <w:rsid w:val="007954FA"/>
    <w:rsid w:val="007B389A"/>
    <w:rsid w:val="007C1E9E"/>
    <w:rsid w:val="007D574B"/>
    <w:rsid w:val="007E1770"/>
    <w:rsid w:val="00812D79"/>
    <w:rsid w:val="008248B5"/>
    <w:rsid w:val="00834B65"/>
    <w:rsid w:val="00845985"/>
    <w:rsid w:val="00846203"/>
    <w:rsid w:val="00854101"/>
    <w:rsid w:val="008576B7"/>
    <w:rsid w:val="00860129"/>
    <w:rsid w:val="008856CD"/>
    <w:rsid w:val="008A10A2"/>
    <w:rsid w:val="008A4258"/>
    <w:rsid w:val="008A5DA4"/>
    <w:rsid w:val="008B0172"/>
    <w:rsid w:val="008B5C2C"/>
    <w:rsid w:val="008B5D55"/>
    <w:rsid w:val="008C42FD"/>
    <w:rsid w:val="008C7011"/>
    <w:rsid w:val="008D391A"/>
    <w:rsid w:val="008E32F2"/>
    <w:rsid w:val="008E533E"/>
    <w:rsid w:val="00904FAB"/>
    <w:rsid w:val="0091229C"/>
    <w:rsid w:val="00921F82"/>
    <w:rsid w:val="00935503"/>
    <w:rsid w:val="0096052E"/>
    <w:rsid w:val="00964B9E"/>
    <w:rsid w:val="009715FC"/>
    <w:rsid w:val="009755EC"/>
    <w:rsid w:val="00976BED"/>
    <w:rsid w:val="00976D98"/>
    <w:rsid w:val="009807DD"/>
    <w:rsid w:val="0099131C"/>
    <w:rsid w:val="00995A0F"/>
    <w:rsid w:val="009B2575"/>
    <w:rsid w:val="009C2294"/>
    <w:rsid w:val="009D06C1"/>
    <w:rsid w:val="009D3947"/>
    <w:rsid w:val="009E0C74"/>
    <w:rsid w:val="00A11AD7"/>
    <w:rsid w:val="00A12314"/>
    <w:rsid w:val="00A255F7"/>
    <w:rsid w:val="00A35836"/>
    <w:rsid w:val="00A37902"/>
    <w:rsid w:val="00A37A92"/>
    <w:rsid w:val="00A604D3"/>
    <w:rsid w:val="00A63B38"/>
    <w:rsid w:val="00A70AB5"/>
    <w:rsid w:val="00A71A13"/>
    <w:rsid w:val="00A73632"/>
    <w:rsid w:val="00AB072C"/>
    <w:rsid w:val="00AB4F01"/>
    <w:rsid w:val="00AC396D"/>
    <w:rsid w:val="00AF26EC"/>
    <w:rsid w:val="00B12949"/>
    <w:rsid w:val="00B17C4D"/>
    <w:rsid w:val="00B17FFC"/>
    <w:rsid w:val="00B214F7"/>
    <w:rsid w:val="00B21EC9"/>
    <w:rsid w:val="00B22B2B"/>
    <w:rsid w:val="00B24489"/>
    <w:rsid w:val="00B347D8"/>
    <w:rsid w:val="00B42260"/>
    <w:rsid w:val="00B45BCE"/>
    <w:rsid w:val="00B53652"/>
    <w:rsid w:val="00B542D4"/>
    <w:rsid w:val="00B60FAA"/>
    <w:rsid w:val="00B843FD"/>
    <w:rsid w:val="00B96949"/>
    <w:rsid w:val="00BA13E5"/>
    <w:rsid w:val="00BB5833"/>
    <w:rsid w:val="00BB638B"/>
    <w:rsid w:val="00BE48F1"/>
    <w:rsid w:val="00C21406"/>
    <w:rsid w:val="00C21B9F"/>
    <w:rsid w:val="00C22410"/>
    <w:rsid w:val="00C23104"/>
    <w:rsid w:val="00C243E4"/>
    <w:rsid w:val="00C30FB7"/>
    <w:rsid w:val="00C55707"/>
    <w:rsid w:val="00C578C2"/>
    <w:rsid w:val="00C6000F"/>
    <w:rsid w:val="00C628E7"/>
    <w:rsid w:val="00C63424"/>
    <w:rsid w:val="00C6686D"/>
    <w:rsid w:val="00C7733C"/>
    <w:rsid w:val="00C77DD3"/>
    <w:rsid w:val="00C82F4F"/>
    <w:rsid w:val="00C839A3"/>
    <w:rsid w:val="00C86D1D"/>
    <w:rsid w:val="00C90011"/>
    <w:rsid w:val="00C942C8"/>
    <w:rsid w:val="00C957BA"/>
    <w:rsid w:val="00CA01E4"/>
    <w:rsid w:val="00CA1CBD"/>
    <w:rsid w:val="00CA6753"/>
    <w:rsid w:val="00CA7BB9"/>
    <w:rsid w:val="00CB2352"/>
    <w:rsid w:val="00CB6942"/>
    <w:rsid w:val="00CD015B"/>
    <w:rsid w:val="00CD0D4E"/>
    <w:rsid w:val="00CE4ACC"/>
    <w:rsid w:val="00D01EB1"/>
    <w:rsid w:val="00D0306B"/>
    <w:rsid w:val="00D06256"/>
    <w:rsid w:val="00D0761D"/>
    <w:rsid w:val="00D27F2B"/>
    <w:rsid w:val="00D41053"/>
    <w:rsid w:val="00D43DC4"/>
    <w:rsid w:val="00D675D1"/>
    <w:rsid w:val="00D719AB"/>
    <w:rsid w:val="00D823FD"/>
    <w:rsid w:val="00D87D68"/>
    <w:rsid w:val="00DA7A95"/>
    <w:rsid w:val="00DD5171"/>
    <w:rsid w:val="00DE0556"/>
    <w:rsid w:val="00DE1978"/>
    <w:rsid w:val="00DE3CB8"/>
    <w:rsid w:val="00DE5656"/>
    <w:rsid w:val="00E10C7B"/>
    <w:rsid w:val="00E12301"/>
    <w:rsid w:val="00E17A03"/>
    <w:rsid w:val="00E23CA7"/>
    <w:rsid w:val="00E4148F"/>
    <w:rsid w:val="00E4229B"/>
    <w:rsid w:val="00E51651"/>
    <w:rsid w:val="00E5191D"/>
    <w:rsid w:val="00E560E2"/>
    <w:rsid w:val="00E61A40"/>
    <w:rsid w:val="00E837F1"/>
    <w:rsid w:val="00E86DFF"/>
    <w:rsid w:val="00E93F30"/>
    <w:rsid w:val="00E95E50"/>
    <w:rsid w:val="00E97347"/>
    <w:rsid w:val="00EA4024"/>
    <w:rsid w:val="00EB1493"/>
    <w:rsid w:val="00EB7A08"/>
    <w:rsid w:val="00EF029C"/>
    <w:rsid w:val="00EF3592"/>
    <w:rsid w:val="00EF493D"/>
    <w:rsid w:val="00F24DA2"/>
    <w:rsid w:val="00F25EE7"/>
    <w:rsid w:val="00F36273"/>
    <w:rsid w:val="00F46DA5"/>
    <w:rsid w:val="00F600A4"/>
    <w:rsid w:val="00F60A72"/>
    <w:rsid w:val="00F66B73"/>
    <w:rsid w:val="00F952FF"/>
    <w:rsid w:val="00FB3FF3"/>
    <w:rsid w:val="00FB7E59"/>
    <w:rsid w:val="00FE1B22"/>
    <w:rsid w:val="00FE3B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26"/>
    <w:pPr>
      <w:spacing w:before="60"/>
      <w:jc w:val="both"/>
    </w:pPr>
    <w:rPr>
      <w:rFonts w:ascii="Times New Roman" w:eastAsia="Times New Roman" w:hAnsi="Times New Roman"/>
      <w:sz w:val="24"/>
      <w:szCs w:val="20"/>
    </w:rPr>
  </w:style>
  <w:style w:type="paragraph" w:styleId="Heading1">
    <w:name w:val="heading 1"/>
    <w:aliases w:val="Nadpis 1_SR,Nadpis 1_GK"/>
    <w:basedOn w:val="Normal"/>
    <w:next w:val="Normal"/>
    <w:link w:val="Heading1Char"/>
    <w:uiPriority w:val="99"/>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_SR Char,Nadpis 1_GK Char"/>
    <w:basedOn w:val="DefaultParagraphFont"/>
    <w:link w:val="Heading1"/>
    <w:uiPriority w:val="99"/>
    <w:rsid w:val="00483426"/>
    <w:rPr>
      <w:rFonts w:ascii="Arial" w:hAnsi="Arial" w:cs="Arial"/>
      <w:b/>
      <w:bCs/>
      <w:caps/>
      <w:kern w:val="32"/>
      <w:sz w:val="32"/>
      <w:szCs w:val="32"/>
      <w:lang w:eastAsia="cs-CZ"/>
    </w:rPr>
  </w:style>
  <w:style w:type="paragraph" w:styleId="Header">
    <w:name w:val="header"/>
    <w:basedOn w:val="Normal"/>
    <w:link w:val="HeaderChar"/>
    <w:uiPriority w:val="99"/>
    <w:rsid w:val="00483426"/>
    <w:pPr>
      <w:tabs>
        <w:tab w:val="center" w:pos="4536"/>
        <w:tab w:val="right" w:pos="9072"/>
      </w:tabs>
    </w:pPr>
  </w:style>
  <w:style w:type="character" w:customStyle="1" w:styleId="HeaderChar">
    <w:name w:val="Header Char"/>
    <w:basedOn w:val="DefaultParagraphFont"/>
    <w:link w:val="Header"/>
    <w:uiPriority w:val="99"/>
    <w:rsid w:val="00483426"/>
    <w:rPr>
      <w:rFonts w:ascii="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968</Words>
  <Characters>5715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MM</cp:lastModifiedBy>
  <cp:revision>4</cp:revision>
  <dcterms:created xsi:type="dcterms:W3CDTF">2016-10-28T20:37:00Z</dcterms:created>
  <dcterms:modified xsi:type="dcterms:W3CDTF">2016-11-06T22:07:00Z</dcterms:modified>
</cp:coreProperties>
</file>